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Default Extension="png" ContentType="image/png"/>
  <Default Extension="odttf" ContentType="application/vnd.openxmlformats-officedocument.obfuscatedFont"/>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Pr>
          <w:rFonts w:ascii="IBM Plex Mono" w:hAnsi="IBM Plex Mono" w:cs="IBM Plex Mono"/>
          <w:color w:val="10A878"/>
          <w:sz w:val="18"/>
        </w:rPr>
        <w:t xml:space="preserve">// </w:t>
      </w:r>
      <w:r>
        <w:rPr>
          <w:rFonts w:ascii="IBM Plex Mono" w:hAnsi="IBM Plex Mono" w:cs="IBM Plex Mono"/>
          <w:caps/>
          <w:color w:val="21E0A0"/>
          <w:sz w:val="18"/>
        </w:rPr>
        <w:t>a template</w:t>
      </w:r>
    </w:p>
    <w:p>
      <w:pPr>
        <w:pStyle w:val="CoverTitle"/>
      </w:pPr>
      <w:r>
        <w:t>Data Governance Operating Model</w:t>
      </w:r>
    </w:p>
    <w:p>
      <w:pPr>
        <w:pStyle w:val="CoverDeck"/>
      </w:pPr>
      <w:r>
        <w:t>Governance is not a document, it is a set of jobs that get done on a rhythm. This names the roles, settles who is accountable for each governance activity, and sets the cadence. The engine that makes the rest of the kit run.</w:t>
      </w:r>
    </w:p>
    <w:p>
      <w:pPr>
        <w:pStyle w:val="CoverAttrib"/>
      </w:pPr>
      <w:r>
        <w:t>Tim D. Tipton Jr.  ·  The Cyber Alchemist</w:t>
      </w:r>
    </w:p>
    <w:tbl>
      <w:tblPr>
        <w:tblW w:w="1700" w:type="dxa"/>
        <w:tblBorders>
          <w:top w:val="none"/>
          <w:left w:val="none"/>
          <w:bottom w:val="none"/>
          <w:right w:val="none"/>
          <w:insideH w:val="none"/>
          <w:insideV w:val="none"/>
        </w:tblBorders>
        <w:tblLook w:firstColumn="1" w:firstRow="1" w:lastColumn="0" w:lastRow="0" w:noHBand="0" w:noVBand="1" w:val="04A0"/>
      </w:tblPr>
      <w:tblGrid>
        <w:gridCol w:w="1700"/>
      </w:tblGrid>
      <w:tr>
        <w:tc>
          <w:tcPr>
            <w:tcW w:type="dxa" w:w="1700"/>
            <w:tcBorders>
              <w:top w:val="single" w:sz="14" w:space="0" w:color="E9BD55"/>
              <w:left w:val="single" w:sz="14" w:space="0" w:color="E9BD55"/>
              <w:bottom w:val="single" w:sz="14" w:space="0" w:color="E9BD55"/>
              <w:right w:val="single" w:sz="14" w:space="0" w:color="E9BD55"/>
            </w:tcBorders>
            <w:shd w:val="clear" w:color="auto" w:fill="141C22"/>
            <w:tcMar>
              <w:top w:w="16" w:type="dxa"/>
              <w:left w:w="18" w:type="dxa"/>
              <w:bottom w:w="18" w:type="dxa"/>
              <w:right w:w="18" w:type="dxa"/>
            </w:tcMar>
          </w:tcPr>
          <w:p>
            <w:pPr>
              <w:pStyle w:val="TileIdxG"/>
            </w:pPr>
            <w:r>
              <w:rPr>
                <w:rFonts w:ascii="IBM Plex Mono" w:hAnsi="IBM Plex Mono" w:cs="IBM Plex Mono"/>
                <w:color w:val="E9BD55"/>
                <w:sz w:val="16"/>
              </w:rPr>
              <w:t>01</w:t>
            </w:r>
          </w:p>
          <w:p>
            <w:pPr>
              <w:pStyle w:val="TileSymG"/>
            </w:pPr>
            <w:r>
              <w:rPr>
                <w:rFonts w:ascii="Sora" w:hAnsi="Sora" w:cs="Sora"/>
                <w:b/>
                <w:color w:val="FBE08F"/>
                <w:sz w:val="60"/>
              </w:rPr>
              <w:t>Gv</w:t>
            </w:r>
          </w:p>
          <w:p>
            <w:pPr>
              <w:pStyle w:val="TileNameG"/>
            </w:pPr>
            <w:r>
              <w:rPr>
                <w:rFonts w:ascii="IBM Plex Mono" w:hAnsi="IBM Plex Mono" w:cs="IBM Plex Mono"/>
                <w:caps/>
                <w:color w:val="E9BD55"/>
                <w:sz w:val="16"/>
              </w:rPr>
              <w:t>Governance</w:t>
            </w:r>
          </w:p>
        </w:tc>
      </w:tr>
    </w:tbl>
    <w:p>
      <w:pPr>
        <w:pStyle w:val="DeviceCap"/>
      </w:pPr>
      <w:r>
        <w:t>Domain one of seven. The discipline the kit runs on.</w:t>
      </w:r>
    </w:p>
    <w:p>
      <w:pPr>
        <w:sectPr>
          <w:pgSz w:w="12240" w:h="15840"/>
          <w:pgMar w:top="1080" w:right="1080" w:bottom="1080" w:left="1080" w:header="720" w:footer="720" w:gutter="0"/>
          <w:cols w:space="720"/>
          <w:docGrid w:linePitch="360"/>
        </w:sectPr>
      </w:pP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document control</w:t>
      </w:r>
    </w:p>
    <w:tbl>
      <w:tblPr>
        <w:tblW w:w="9360" w:type="dxa"/>
        <w:tblLook w:firstColumn="1" w:firstRow="1" w:lastColumn="0" w:lastRow="0" w:noHBand="0" w:noVBand="1" w:val="04A0"/>
      </w:tblPr>
      <w:tblGrid>
        <w:gridCol w:w="2600"/>
        <w:gridCol w:w="6760"/>
      </w:tblGrid>
      <w:tr>
        <w:trPr>
          <w:tblHeader w:val="true"/>
        </w:trPr>
        <w:tc>
          <w:tcPr>
            <w:tcW w:type="dxa" w:w="26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Field</w:t>
            </w:r>
          </w:p>
        </w:tc>
        <w:tc>
          <w:tcPr>
            <w:tcW w:type="dxa" w:w="676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Entry</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Organization name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organization name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Model owner, role and name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role and name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Effective date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date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Version</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1.0</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Next review date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date</w:t>
            </w:r>
          </w:p>
        </w:tc>
      </w:tr>
    </w:tbl>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purpose</w:t>
      </w:r>
    </w:p>
    <w:p>
      <w:pPr>
        <w:pStyle w:val="Heading1"/>
      </w:pPr>
      <w:r>
        <w:t>Governance as an operating discipline</w:t>
      </w:r>
    </w:p>
    <w:p>
      <w:r>
        <w:t>A classification scheme and a handling matrix are only paper until someone is on the hook for using them. This operating model turns the kit into a working practice. It names five roles, settles who is accountable for each governance activity, and sets the rhythm those activities run on. Built on the Govern function of NIST CSF 2.0, with ISO 27001 Clause 5 and ISO 27701 for the privacy roles.</w:t>
      </w: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the roles</w:t>
      </w:r>
    </w:p>
    <w:p>
      <w:pPr>
        <w:pStyle w:val="Heading1"/>
      </w:pPr>
      <w:r>
        <w:t>Five roles, plain responsibilities</w:t>
      </w:r>
    </w:p>
    <w:p>
      <w:r>
        <w:t>Name who holds each role below. In a small business one person often holds several. That is expected, and the next section says how to handle it.</w:t>
      </w:r>
    </w:p>
    <w:tbl>
      <w:tblPr>
        <w:tblW w:w="9360" w:type="dxa"/>
        <w:tblLook w:firstColumn="1" w:firstRow="1" w:lastColumn="0" w:lastRow="0" w:noHBand="0" w:noVBand="1" w:val="04A0"/>
        <w:tblCaption w:val="Governance roles"/>
        <w:tblDescription w:val="Five governance roles with responsibilities and a fillable held-by column."/>
      </w:tblPr>
      <w:tblGrid>
        <w:gridCol w:w="1900"/>
        <w:gridCol w:w="4860"/>
        <w:gridCol w:w="2600"/>
      </w:tblGrid>
      <w:tr>
        <w:trPr>
          <w:tblHeader w:val="true"/>
        </w:trPr>
        <w:tc>
          <w:tcPr>
            <w:tcW w:type="dxa" w:w="19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Role</w:t>
            </w:r>
          </w:p>
        </w:tc>
        <w:tc>
          <w:tcPr>
            <w:tcW w:type="dxa" w:w="486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Responsibility</w:t>
            </w:r>
          </w:p>
        </w:tc>
        <w:tc>
          <w:tcPr>
            <w:tcW w:type="dxa" w:w="26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Held by</w:t>
            </w:r>
          </w:p>
        </w:tc>
      </w:tr>
      <w:tr>
        <w:tc>
          <w:tcPr>
            <w:tcW w:type="dxa" w:w="19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
            </w:pPr>
            <w:r>
              <w:rPr>
                <w:rFonts w:ascii="IBM Plex Sans" w:hAnsi="IBM Plex Sans" w:cs="IBM Plex Sans"/>
                <w:b/>
                <w:color w:val="0B0E11"/>
                <w:sz w:val="20"/>
              </w:rPr>
              <w:t>Data Owner</w:t>
            </w:r>
          </w:p>
        </w:tc>
        <w:tc>
          <w:tcPr>
            <w:tcW w:type="dxa" w:w="486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Sm"/>
            </w:pPr>
            <w:r>
              <w:rPr>
                <w:rFonts w:ascii="IBM Plex Sans" w:hAnsi="IBM Plex Sans" w:cs="IBM Plex Sans"/>
                <w:color w:val="3A444C"/>
                <w:sz w:val="18"/>
              </w:rPr>
              <w:t>Accountable for a set of data. Decides its classification, approves who may access it, and approves how long it is kept. For that data, the buck stops here.</w:t>
            </w:r>
          </w:p>
        </w:tc>
        <w:tc>
          <w:tcPr>
            <w:tcW w:type="dxa" w:w="26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Placeholder"/>
            </w:pPr>
            <w:r>
              <w:rPr>
                <w:rFonts w:ascii="IBM Plex Sans" w:hAnsi="IBM Plex Sans" w:cs="IBM Plex Sans"/>
                <w:i/>
                <w:color w:val="6B7680"/>
                <w:sz w:val="20"/>
              </w:rPr>
              <w:t>Enter name</w:t>
            </w:r>
          </w:p>
        </w:tc>
      </w:tr>
      <w:tr>
        <w:tc>
          <w:tcPr>
            <w:tcW w:type="dxa" w:w="19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
            </w:pPr>
            <w:r>
              <w:rPr>
                <w:rFonts w:ascii="IBM Plex Sans" w:hAnsi="IBM Plex Sans" w:cs="IBM Plex Sans"/>
                <w:b/>
                <w:color w:val="0B0E11"/>
                <w:sz w:val="20"/>
              </w:rPr>
              <w:t>Data Steward</w:t>
            </w:r>
          </w:p>
        </w:tc>
        <w:tc>
          <w:tcPr>
            <w:tcW w:type="dxa" w:w="486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Sm"/>
            </w:pPr>
            <w:r>
              <w:rPr>
                <w:rFonts w:ascii="IBM Plex Sans" w:hAnsi="IBM Plex Sans" w:cs="IBM Plex Sans"/>
                <w:color w:val="3A444C"/>
                <w:sz w:val="18"/>
              </w:rPr>
              <w:t>The hands-on caretaker. Keeps classifications current, runs access reviews, applies retention schedules, and is the first point of contact for questions about the data.</w:t>
            </w:r>
          </w:p>
        </w:tc>
        <w:tc>
          <w:tcPr>
            <w:tcW w:type="dxa" w:w="26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Placeholder"/>
            </w:pPr>
            <w:r>
              <w:rPr>
                <w:rFonts w:ascii="IBM Plex Sans" w:hAnsi="IBM Plex Sans" w:cs="IBM Plex Sans"/>
                <w:i/>
                <w:color w:val="6B7680"/>
                <w:sz w:val="20"/>
              </w:rPr>
              <w:t>Enter name</w:t>
            </w:r>
          </w:p>
        </w:tc>
      </w:tr>
      <w:tr>
        <w:tc>
          <w:tcPr>
            <w:tcW w:type="dxa" w:w="19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
            </w:pPr>
            <w:r>
              <w:rPr>
                <w:rFonts w:ascii="IBM Plex Sans" w:hAnsi="IBM Plex Sans" w:cs="IBM Plex Sans"/>
                <w:b/>
                <w:color w:val="0B0E11"/>
                <w:sz w:val="20"/>
              </w:rPr>
              <w:t>Data Custodian</w:t>
            </w:r>
          </w:p>
        </w:tc>
        <w:tc>
          <w:tcPr>
            <w:tcW w:type="dxa" w:w="486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Sm"/>
            </w:pPr>
            <w:r>
              <w:rPr>
                <w:rFonts w:ascii="IBM Plex Sans" w:hAnsi="IBM Plex Sans" w:cs="IBM Plex Sans"/>
                <w:color w:val="3A444C"/>
                <w:sz w:val="18"/>
              </w:rPr>
              <w:t>The technical implementer. Configures access, applies encryption and backups, and carries out the controls each tier requires. Often IT or a managed provider.</w:t>
            </w:r>
          </w:p>
        </w:tc>
        <w:tc>
          <w:tcPr>
            <w:tcW w:type="dxa" w:w="26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Placeholder"/>
            </w:pPr>
            <w:r>
              <w:rPr>
                <w:rFonts w:ascii="IBM Plex Sans" w:hAnsi="IBM Plex Sans" w:cs="IBM Plex Sans"/>
                <w:i/>
                <w:color w:val="6B7680"/>
                <w:sz w:val="20"/>
              </w:rPr>
              <w:t>Enter name</w:t>
            </w:r>
          </w:p>
        </w:tc>
      </w:tr>
      <w:tr>
        <w:tc>
          <w:tcPr>
            <w:tcW w:type="dxa" w:w="19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
            </w:pPr>
            <w:r>
              <w:rPr>
                <w:rFonts w:ascii="IBM Plex Sans" w:hAnsi="IBM Plex Sans" w:cs="IBM Plex Sans"/>
                <w:b/>
                <w:color w:val="0B0E11"/>
                <w:sz w:val="20"/>
              </w:rPr>
              <w:t>Privacy Lead</w:t>
            </w:r>
          </w:p>
        </w:tc>
        <w:tc>
          <w:tcPr>
            <w:tcW w:type="dxa" w:w="486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Sm"/>
            </w:pPr>
            <w:r>
              <w:rPr>
                <w:rFonts w:ascii="IBM Plex Sans" w:hAnsi="IBM Plex Sans" w:cs="IBM Plex Sans"/>
                <w:color w:val="3A444C"/>
                <w:sz w:val="18"/>
              </w:rPr>
              <w:t>Owns personal and regulated data. Advises on classifying personal data, vendor data terms, retention set by law, and breach notification.</w:t>
            </w:r>
          </w:p>
        </w:tc>
        <w:tc>
          <w:tcPr>
            <w:tcW w:type="dxa" w:w="26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Placeholder"/>
            </w:pPr>
            <w:r>
              <w:rPr>
                <w:rFonts w:ascii="IBM Plex Sans" w:hAnsi="IBM Plex Sans" w:cs="IBM Plex Sans"/>
                <w:i/>
                <w:color w:val="6B7680"/>
                <w:sz w:val="20"/>
              </w:rPr>
              <w:t>Enter name</w:t>
            </w:r>
          </w:p>
        </w:tc>
      </w:tr>
      <w:tr>
        <w:tc>
          <w:tcPr>
            <w:tcW w:type="dxa" w:w="19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
            </w:pPr>
            <w:r>
              <w:rPr>
                <w:rFonts w:ascii="IBM Plex Sans" w:hAnsi="IBM Plex Sans" w:cs="IBM Plex Sans"/>
                <w:b/>
                <w:color w:val="0B0E11"/>
                <w:sz w:val="20"/>
              </w:rPr>
              <w:t>Executive Sponsor</w:t>
            </w:r>
          </w:p>
        </w:tc>
        <w:tc>
          <w:tcPr>
            <w:tcW w:type="dxa" w:w="486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Sm"/>
            </w:pPr>
            <w:r>
              <w:rPr>
                <w:rFonts w:ascii="IBM Plex Sans" w:hAnsi="IBM Plex Sans" w:cs="IBM Plex Sans"/>
                <w:color w:val="3A444C"/>
                <w:sz w:val="18"/>
              </w:rPr>
              <w:t>Owns governance at the leadership level. Approves this model, owns incident response, and makes sure the program has the time and budget to run.</w:t>
            </w:r>
          </w:p>
        </w:tc>
        <w:tc>
          <w:tcPr>
            <w:tcW w:type="dxa" w:w="26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Placeholder"/>
            </w:pPr>
            <w:r>
              <w:rPr>
                <w:rFonts w:ascii="IBM Plex Sans" w:hAnsi="IBM Plex Sans" w:cs="IBM Plex Sans"/>
                <w:i/>
                <w:color w:val="6B7680"/>
                <w:sz w:val="20"/>
              </w:rPr>
              <w:t>Enter name</w:t>
            </w:r>
          </w:p>
        </w:tc>
      </w:tr>
    </w:tbl>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the raci</w:t>
      </w:r>
    </w:p>
    <w:p>
      <w:pPr>
        <w:pStyle w:val="Heading1"/>
      </w:pPr>
      <w:r>
        <w:t>Who does what, by activity</w:t>
      </w:r>
    </w:p>
    <w:p>
      <w:r>
        <w:t>One accountable role per activity, never two. Read each row: A owns the outcome, R does the work, C is consulted, I is kept informed.</w:t>
      </w:r>
    </w:p>
    <w:tbl>
      <w:tblPr>
        <w:tblW w:w="9360" w:type="dxa"/>
        <w:tblLook w:firstColumn="1" w:firstRow="1" w:lastColumn="0" w:lastRow="0" w:noHBand="0" w:noVBand="1" w:val="04A0"/>
        <w:tblCaption w:val="Governance RACI"/>
        <w:tblDescription w:val="Responsibility assignment for six governance activities across five roles, using R responsible, A accountable, C consulted, I informed."/>
      </w:tblPr>
      <w:tblGrid>
        <w:gridCol w:w="2480"/>
        <w:gridCol w:w="1376"/>
        <w:gridCol w:w="1376"/>
        <w:gridCol w:w="1376"/>
        <w:gridCol w:w="1376"/>
        <w:gridCol w:w="1376"/>
      </w:tblGrid>
      <w:tr>
        <w:trPr>
          <w:tblHeader w:val="true"/>
        </w:trPr>
        <w:tc>
          <w:tcPr>
            <w:tcW w:type="dxa" w:w="2480"/>
            <w:tcBorders>
              <w:top w:val="single" w:sz="4" w:space="0" w:color="E3E3DC"/>
              <w:left w:val="single" w:sz="4" w:space="0" w:color="E3E3DC"/>
              <w:bottom w:val="single" w:sz="4" w:space="0" w:color="E3E3DC"/>
              <w:right w:val="single" w:sz="4" w:space="0" w:color="E3E3DC"/>
            </w:tcBorders>
            <w:shd w:val="clear" w:color="auto" w:fill="F2F2EC"/>
            <w:tcMar>
              <w:top w:w="70" w:type="dxa"/>
              <w:left w:w="100" w:type="dxa"/>
              <w:bottom w:w="70" w:type="dxa"/>
              <w:right w:w="100" w:type="dxa"/>
            </w:tcMar>
          </w:tcPr>
          <w:p>
            <w:pPr>
              <w:pStyle w:val="HeadCellTxt"/>
            </w:pPr>
            <w:r>
              <w:rPr>
                <w:rFonts w:ascii="IBM Plex Mono" w:hAnsi="IBM Plex Mono" w:cs="IBM Plex Mono"/>
                <w:caps/>
                <w:color w:val="6B7680"/>
                <w:sz w:val="16"/>
              </w:rPr>
              <w:t>Activity</w:t>
            </w:r>
          </w:p>
        </w:tc>
        <w:tc>
          <w:tcPr>
            <w:tcW w:type="dxa" w:w="1376"/>
            <w:tcBorders>
              <w:top w:val="single" w:sz="4" w:space="0" w:color="E3E3DC"/>
              <w:left w:val="single" w:sz="4" w:space="0" w:color="E3E3DC"/>
              <w:bottom w:val="single" w:sz="4" w:space="0" w:color="E3E3DC"/>
              <w:right w:val="single" w:sz="4" w:space="0" w:color="E3E3DC"/>
            </w:tcBorders>
            <w:shd w:val="clear" w:color="auto" w:fill="F2F2EC"/>
            <w:tcMar>
              <w:top w:w="70" w:type="dxa"/>
              <w:left w:w="40" w:type="dxa"/>
              <w:bottom w:w="70" w:type="dxa"/>
              <w:right w:w="40" w:type="dxa"/>
            </w:tcMar>
          </w:tcPr>
          <w:p>
            <w:pPr>
              <w:pStyle w:val="RaciHead"/>
            </w:pPr>
            <w:r>
              <w:rPr>
                <w:rFonts w:ascii="IBM Plex Mono" w:hAnsi="IBM Plex Mono" w:cs="IBM Plex Mono"/>
                <w:caps/>
                <w:color w:val="6B7680"/>
                <w:sz w:val="15"/>
              </w:rPr>
              <w:t>Owner</w:t>
            </w:r>
          </w:p>
        </w:tc>
        <w:tc>
          <w:tcPr>
            <w:tcW w:type="dxa" w:w="1376"/>
            <w:tcBorders>
              <w:top w:val="single" w:sz="4" w:space="0" w:color="E3E3DC"/>
              <w:left w:val="single" w:sz="4" w:space="0" w:color="E3E3DC"/>
              <w:bottom w:val="single" w:sz="4" w:space="0" w:color="E3E3DC"/>
              <w:right w:val="single" w:sz="4" w:space="0" w:color="E3E3DC"/>
            </w:tcBorders>
            <w:shd w:val="clear" w:color="auto" w:fill="F2F2EC"/>
            <w:tcMar>
              <w:top w:w="70" w:type="dxa"/>
              <w:left w:w="40" w:type="dxa"/>
              <w:bottom w:w="70" w:type="dxa"/>
              <w:right w:w="40" w:type="dxa"/>
            </w:tcMar>
          </w:tcPr>
          <w:p>
            <w:pPr>
              <w:pStyle w:val="RaciHead"/>
            </w:pPr>
            <w:r>
              <w:rPr>
                <w:rFonts w:ascii="IBM Plex Mono" w:hAnsi="IBM Plex Mono" w:cs="IBM Plex Mono"/>
                <w:caps/>
                <w:color w:val="6B7680"/>
                <w:sz w:val="15"/>
              </w:rPr>
              <w:t>Steward</w:t>
            </w:r>
          </w:p>
        </w:tc>
        <w:tc>
          <w:tcPr>
            <w:tcW w:type="dxa" w:w="1376"/>
            <w:tcBorders>
              <w:top w:val="single" w:sz="4" w:space="0" w:color="E3E3DC"/>
              <w:left w:val="single" w:sz="4" w:space="0" w:color="E3E3DC"/>
              <w:bottom w:val="single" w:sz="4" w:space="0" w:color="E3E3DC"/>
              <w:right w:val="single" w:sz="4" w:space="0" w:color="E3E3DC"/>
            </w:tcBorders>
            <w:shd w:val="clear" w:color="auto" w:fill="F2F2EC"/>
            <w:tcMar>
              <w:top w:w="70" w:type="dxa"/>
              <w:left w:w="40" w:type="dxa"/>
              <w:bottom w:w="70" w:type="dxa"/>
              <w:right w:w="40" w:type="dxa"/>
            </w:tcMar>
          </w:tcPr>
          <w:p>
            <w:pPr>
              <w:pStyle w:val="RaciHead"/>
            </w:pPr>
            <w:r>
              <w:rPr>
                <w:rFonts w:ascii="IBM Plex Mono" w:hAnsi="IBM Plex Mono" w:cs="IBM Plex Mono"/>
                <w:caps/>
                <w:color w:val="6B7680"/>
                <w:sz w:val="15"/>
              </w:rPr>
              <w:t>Custodian</w:t>
            </w:r>
          </w:p>
        </w:tc>
        <w:tc>
          <w:tcPr>
            <w:tcW w:type="dxa" w:w="1376"/>
            <w:tcBorders>
              <w:top w:val="single" w:sz="4" w:space="0" w:color="E3E3DC"/>
              <w:left w:val="single" w:sz="4" w:space="0" w:color="E3E3DC"/>
              <w:bottom w:val="single" w:sz="4" w:space="0" w:color="E3E3DC"/>
              <w:right w:val="single" w:sz="4" w:space="0" w:color="E3E3DC"/>
            </w:tcBorders>
            <w:shd w:val="clear" w:color="auto" w:fill="F2F2EC"/>
            <w:tcMar>
              <w:top w:w="70" w:type="dxa"/>
              <w:left w:w="40" w:type="dxa"/>
              <w:bottom w:w="70" w:type="dxa"/>
              <w:right w:w="40" w:type="dxa"/>
            </w:tcMar>
          </w:tcPr>
          <w:p>
            <w:pPr>
              <w:pStyle w:val="RaciHead"/>
            </w:pPr>
            <w:r>
              <w:rPr>
                <w:rFonts w:ascii="IBM Plex Mono" w:hAnsi="IBM Plex Mono" w:cs="IBM Plex Mono"/>
                <w:caps/>
                <w:color w:val="6B7680"/>
                <w:sz w:val="15"/>
              </w:rPr>
              <w:t>Privacy</w:t>
            </w:r>
          </w:p>
        </w:tc>
        <w:tc>
          <w:tcPr>
            <w:tcW w:type="dxa" w:w="1376"/>
            <w:tcBorders>
              <w:top w:val="single" w:sz="4" w:space="0" w:color="E3E3DC"/>
              <w:left w:val="single" w:sz="4" w:space="0" w:color="E3E3DC"/>
              <w:bottom w:val="single" w:sz="4" w:space="0" w:color="E3E3DC"/>
              <w:right w:val="single" w:sz="4" w:space="0" w:color="E3E3DC"/>
            </w:tcBorders>
            <w:shd w:val="clear" w:color="auto" w:fill="F2F2EC"/>
            <w:tcMar>
              <w:top w:w="70" w:type="dxa"/>
              <w:left w:w="40" w:type="dxa"/>
              <w:bottom w:w="70" w:type="dxa"/>
              <w:right w:w="40" w:type="dxa"/>
            </w:tcMar>
          </w:tcPr>
          <w:p>
            <w:pPr>
              <w:pStyle w:val="RaciHead"/>
            </w:pPr>
            <w:r>
              <w:rPr>
                <w:rFonts w:ascii="IBM Plex Mono" w:hAnsi="IBM Plex Mono" w:cs="IBM Plex Mono"/>
                <w:caps/>
                <w:color w:val="6B7680"/>
                <w:sz w:val="15"/>
              </w:rPr>
              <w:t>Sponsor</w:t>
            </w:r>
          </w:p>
        </w:tc>
      </w:tr>
      <w:tr>
        <w:tc>
          <w:tcPr>
            <w:tcW w:type="dxa" w:w="2480"/>
            <w:tcBorders>
              <w:top w:val="single" w:sz="4" w:space="0" w:color="E3E3DC"/>
              <w:left w:val="single" w:sz="4" w:space="0" w:color="E3E3DC"/>
              <w:bottom w:val="single" w:sz="4" w:space="0" w:color="E3E3DC"/>
              <w:right w:val="single" w:sz="4" w:space="0" w:color="E3E3DC"/>
            </w:tcBorders>
            <w:tcMar>
              <w:top w:w="70" w:type="dxa"/>
              <w:left w:w="100" w:type="dxa"/>
              <w:bottom w:w="70" w:type="dxa"/>
              <w:right w:w="100" w:type="dxa"/>
            </w:tcMar>
          </w:tcPr>
          <w:p>
            <w:pPr>
              <w:pStyle w:val="CellTxt"/>
            </w:pPr>
            <w:r>
              <w:rPr>
                <w:rFonts w:ascii="IBM Plex Sans" w:hAnsi="IBM Plex Sans" w:cs="IBM Plex Sans"/>
                <w:color w:val="0B0E11"/>
                <w:sz w:val="20"/>
              </w:rPr>
              <w:t>Classify data</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A</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R</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I</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C</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I</w:t>
            </w:r>
          </w:p>
        </w:tc>
      </w:tr>
      <w:tr>
        <w:tc>
          <w:tcPr>
            <w:tcW w:type="dxa" w:w="2480"/>
            <w:tcBorders>
              <w:top w:val="single" w:sz="4" w:space="0" w:color="E3E3DC"/>
              <w:left w:val="single" w:sz="4" w:space="0" w:color="E3E3DC"/>
              <w:bottom w:val="single" w:sz="4" w:space="0" w:color="E3E3DC"/>
              <w:right w:val="single" w:sz="4" w:space="0" w:color="E3E3DC"/>
            </w:tcBorders>
            <w:tcMar>
              <w:top w:w="70" w:type="dxa"/>
              <w:left w:w="100" w:type="dxa"/>
              <w:bottom w:w="70" w:type="dxa"/>
              <w:right w:w="100" w:type="dxa"/>
            </w:tcMar>
          </w:tcPr>
          <w:p>
            <w:pPr>
              <w:pStyle w:val="CellTxt"/>
            </w:pPr>
            <w:r>
              <w:rPr>
                <w:rFonts w:ascii="IBM Plex Sans" w:hAnsi="IBM Plex Sans" w:cs="IBM Plex Sans"/>
                <w:color w:val="0B0E11"/>
                <w:sz w:val="20"/>
              </w:rPr>
              <w:t>Grant access</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A</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C</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R</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I</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I</w:t>
            </w:r>
          </w:p>
        </w:tc>
      </w:tr>
      <w:tr>
        <w:tc>
          <w:tcPr>
            <w:tcW w:type="dxa" w:w="2480"/>
            <w:tcBorders>
              <w:top w:val="single" w:sz="4" w:space="0" w:color="E3E3DC"/>
              <w:left w:val="single" w:sz="4" w:space="0" w:color="E3E3DC"/>
              <w:bottom w:val="single" w:sz="4" w:space="0" w:color="E3E3DC"/>
              <w:right w:val="single" w:sz="4" w:space="0" w:color="E3E3DC"/>
            </w:tcBorders>
            <w:tcMar>
              <w:top w:w="70" w:type="dxa"/>
              <w:left w:w="100" w:type="dxa"/>
              <w:bottom w:w="70" w:type="dxa"/>
              <w:right w:w="100" w:type="dxa"/>
            </w:tcMar>
          </w:tcPr>
          <w:p>
            <w:pPr>
              <w:pStyle w:val="CellTxt"/>
            </w:pPr>
            <w:r>
              <w:rPr>
                <w:rFonts w:ascii="IBM Plex Sans" w:hAnsi="IBM Plex Sans" w:cs="IBM Plex Sans"/>
                <w:color w:val="0B0E11"/>
                <w:sz w:val="20"/>
              </w:rPr>
              <w:t>Review access</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A</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R</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C</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I</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I</w:t>
            </w:r>
          </w:p>
        </w:tc>
      </w:tr>
      <w:tr>
        <w:tc>
          <w:tcPr>
            <w:tcW w:type="dxa" w:w="2480"/>
            <w:tcBorders>
              <w:top w:val="single" w:sz="4" w:space="0" w:color="E3E3DC"/>
              <w:left w:val="single" w:sz="4" w:space="0" w:color="E3E3DC"/>
              <w:bottom w:val="single" w:sz="4" w:space="0" w:color="E3E3DC"/>
              <w:right w:val="single" w:sz="4" w:space="0" w:color="E3E3DC"/>
            </w:tcBorders>
            <w:tcMar>
              <w:top w:w="70" w:type="dxa"/>
              <w:left w:w="100" w:type="dxa"/>
              <w:bottom w:w="70" w:type="dxa"/>
              <w:right w:w="100" w:type="dxa"/>
            </w:tcMar>
          </w:tcPr>
          <w:p>
            <w:pPr>
              <w:pStyle w:val="CellTxt"/>
            </w:pPr>
            <w:r>
              <w:rPr>
                <w:rFonts w:ascii="IBM Plex Sans" w:hAnsi="IBM Plex Sans" w:cs="IBM Plex Sans"/>
                <w:color w:val="0B0E11"/>
                <w:sz w:val="20"/>
              </w:rPr>
              <w:t>Handle an incident</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C</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I</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R</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C</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A</w:t>
            </w:r>
          </w:p>
        </w:tc>
      </w:tr>
      <w:tr>
        <w:tc>
          <w:tcPr>
            <w:tcW w:type="dxa" w:w="2480"/>
            <w:tcBorders>
              <w:top w:val="single" w:sz="4" w:space="0" w:color="E3E3DC"/>
              <w:left w:val="single" w:sz="4" w:space="0" w:color="E3E3DC"/>
              <w:bottom w:val="single" w:sz="4" w:space="0" w:color="E3E3DC"/>
              <w:right w:val="single" w:sz="4" w:space="0" w:color="E3E3DC"/>
            </w:tcBorders>
            <w:tcMar>
              <w:top w:w="70" w:type="dxa"/>
              <w:left w:w="100" w:type="dxa"/>
              <w:bottom w:w="70" w:type="dxa"/>
              <w:right w:w="100" w:type="dxa"/>
            </w:tcMar>
          </w:tcPr>
          <w:p>
            <w:pPr>
              <w:pStyle w:val="CellTxt"/>
            </w:pPr>
            <w:r>
              <w:rPr>
                <w:rFonts w:ascii="IBM Plex Sans" w:hAnsi="IBM Plex Sans" w:cs="IBM Plex Sans"/>
                <w:color w:val="0B0E11"/>
                <w:sz w:val="20"/>
              </w:rPr>
              <w:t>Approve retention</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A</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R</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I</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C</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I</w:t>
            </w:r>
          </w:p>
        </w:tc>
      </w:tr>
      <w:tr>
        <w:tc>
          <w:tcPr>
            <w:tcW w:type="dxa" w:w="2480"/>
            <w:tcBorders>
              <w:top w:val="single" w:sz="4" w:space="0" w:color="E3E3DC"/>
              <w:left w:val="single" w:sz="4" w:space="0" w:color="E3E3DC"/>
              <w:bottom w:val="single" w:sz="4" w:space="0" w:color="E3E3DC"/>
              <w:right w:val="single" w:sz="4" w:space="0" w:color="E3E3DC"/>
            </w:tcBorders>
            <w:tcMar>
              <w:top w:w="70" w:type="dxa"/>
              <w:left w:w="100" w:type="dxa"/>
              <w:bottom w:w="70" w:type="dxa"/>
              <w:right w:w="100" w:type="dxa"/>
            </w:tcMar>
          </w:tcPr>
          <w:p>
            <w:pPr>
              <w:pStyle w:val="CellTxt"/>
            </w:pPr>
            <w:r>
              <w:rPr>
                <w:rFonts w:ascii="IBM Plex Sans" w:hAnsi="IBM Plex Sans" w:cs="IBM Plex Sans"/>
                <w:color w:val="0B0E11"/>
                <w:sz w:val="20"/>
              </w:rPr>
              <w:t>Review a vendor</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A</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C</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C</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color w:val="0B0E11"/>
                <w:sz w:val="19"/>
              </w:rPr>
              <w:t>R</w:t>
            </w:r>
          </w:p>
        </w:tc>
        <w:tc>
          <w:tcPr>
            <w:tcW w:type="dxa" w:w="1376"/>
            <w:tcBorders>
              <w:top w:val="single" w:sz="4" w:space="0" w:color="E3E3DC"/>
              <w:left w:val="single" w:sz="4" w:space="0" w:color="E3E3DC"/>
              <w:bottom w:val="single" w:sz="4" w:space="0" w:color="E3E3DC"/>
              <w:right w:val="single" w:sz="4" w:space="0" w:color="E3E3DC"/>
            </w:tcBorders>
            <w:tcMar>
              <w:top w:w="70" w:type="dxa"/>
              <w:left w:w="40" w:type="dxa"/>
              <w:bottom w:w="70" w:type="dxa"/>
              <w:right w:w="40" w:type="dxa"/>
            </w:tcMar>
          </w:tcPr>
          <w:p>
            <w:pPr>
              <w:pStyle w:val="RaciCell"/>
            </w:pPr>
            <w:r>
              <w:rPr>
                <w:rFonts w:ascii="IBM Plex Mono" w:hAnsi="IBM Plex Mono" w:cs="IBM Plex Mono"/>
                <w:b w:val="0"/>
                <w:color w:val="6B7680"/>
                <w:sz w:val="19"/>
              </w:rPr>
              <w:t>I</w:t>
            </w:r>
          </w:p>
        </w:tc>
      </w:tr>
    </w:tbl>
    <w:p>
      <w:pPr>
        <w:pStyle w:val="LegendTxt"/>
        <w:spacing w:before="160"/>
      </w:pPr>
      <w:r>
        <w:rPr>
          <w:rFonts w:ascii="IBM Plex Mono" w:hAnsi="IBM Plex Mono" w:cs="IBM Plex Mono"/>
          <w:b/>
          <w:color w:val="0B0E11"/>
          <w:sz w:val="19"/>
        </w:rPr>
        <w:t xml:space="preserve">R </w:t>
      </w:r>
      <w:r>
        <w:rPr>
          <w:color w:val="3A444C"/>
          <w:sz w:val="19"/>
        </w:rPr>
        <w:t xml:space="preserve">Responsible, does the work.   </w:t>
      </w:r>
      <w:r>
        <w:rPr>
          <w:rFonts w:ascii="IBM Plex Mono" w:hAnsi="IBM Plex Mono" w:cs="IBM Plex Mono"/>
          <w:b/>
          <w:color w:val="0B0E11"/>
          <w:sz w:val="19"/>
        </w:rPr>
        <w:t xml:space="preserve">A </w:t>
      </w:r>
      <w:r>
        <w:rPr>
          <w:color w:val="3A444C"/>
          <w:sz w:val="19"/>
        </w:rPr>
        <w:t xml:space="preserve">Accountable, owns the outcome, one per row.   </w:t>
      </w:r>
      <w:r>
        <w:rPr>
          <w:rFonts w:ascii="IBM Plex Mono" w:hAnsi="IBM Plex Mono" w:cs="IBM Plex Mono"/>
          <w:color w:val="6B7680"/>
          <w:sz w:val="19"/>
        </w:rPr>
        <w:t xml:space="preserve">C </w:t>
      </w:r>
      <w:r>
        <w:rPr>
          <w:color w:val="3A444C"/>
          <w:sz w:val="19"/>
        </w:rPr>
        <w:t xml:space="preserve">Consulted.   </w:t>
      </w:r>
      <w:r>
        <w:rPr>
          <w:rFonts w:ascii="IBM Plex Mono" w:hAnsi="IBM Plex Mono" w:cs="IBM Plex Mono"/>
          <w:color w:val="6B7680"/>
          <w:sz w:val="19"/>
        </w:rPr>
        <w:t xml:space="preserve">I </w:t>
      </w:r>
      <w:r>
        <w:rPr>
          <w:color w:val="3A444C"/>
          <w:sz w:val="19"/>
        </w:rPr>
        <w:t>Informed.</w:t>
      </w:r>
    </w:p>
    <w:p>
      <w:pPr>
        <w:pStyle w:val="LegendTxt"/>
      </w:pPr>
      <w:r>
        <w:rPr>
          <w:color w:val="6B7680"/>
          <w:sz w:val="18"/>
        </w:rPr>
        <w:t>Columns map to the roles above: Owner is the Data Owner, Steward the Data Steward, Custodian the Data Custodian, Privacy the Privacy Lead, Sponsor the Executive Sponsor.</w:t>
      </w: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one person, several hats</w:t>
      </w:r>
    </w:p>
    <w:p>
      <w:pPr>
        <w:pStyle w:val="CalloutText"/>
        <w:pBdr>
          <w:top w:val="single" w:sz="4" w:space="8" w:color="E3E3DC"/>
          <w:left w:val="single" w:sz="18" w:space="8" w:color="0E8E66"/>
          <w:bottom w:val="single" w:sz="4" w:space="8" w:color="E3E3DC"/>
          <w:right w:val="single" w:sz="4" w:space="8" w:color="E3E3DC"/>
        </w:pBdr>
        <w:shd w:val="clear" w:color="auto" w:fill="F2F2EC"/>
      </w:pPr>
      <w:r>
        <w:rPr>
          <w:b/>
        </w:rPr>
        <w:t xml:space="preserve">In a small business, one person wears several of these hats. </w:t>
      </w:r>
      <w:r>
        <w:t>The owner may be Data Owner, Privacy Lead, and Executive Sponsor at once, with an IT provider as Data Custodian. That is fine. The value is not five people, it is five clear responsibilities. Name who holds each, even when the same person holds several, so nothing falls through the gap between roles.</w:t>
      </w:r>
    </w:p>
    <w:p>
      <w:pPr>
        <w:pStyle w:val="FieldLabel"/>
      </w:pPr>
      <w:r>
        <w:rPr>
          <w:rFonts w:ascii="IBM Plex Mono" w:hAnsi="IBM Plex Mono" w:cs="IBM Plex Mono"/>
          <w:caps/>
          <w:color w:val="0E8E66"/>
          <w:sz w:val="16"/>
        </w:rPr>
        <w:t>Enterprise extension</w:t>
      </w:r>
    </w:p>
    <w:p>
      <w:r>
        <w:t>As the business grows, the roles separate across people, and the Executive Sponsor convenes a standing data governance committee that meets on a set cadence to own the program, review risk, and approve exceptions. The committee is where the hats come back apart into seats.</w:t>
      </w: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the operating cadence</w:t>
      </w:r>
    </w:p>
    <w:p>
      <w:pPr>
        <w:pStyle w:val="Heading1"/>
      </w:pPr>
      <w:r>
        <w:t>The rhythm the model runs on</w:t>
      </w:r>
    </w:p>
    <w:p>
      <w:r>
        <w:t>Governance is the activities below, done on time. Set the cadence that fits the business and name who owns each. The defaults are a sound starting point.</w:t>
      </w:r>
    </w:p>
    <w:tbl>
      <w:tblPr>
        <w:tblW w:w="9360" w:type="dxa"/>
        <w:tblLook w:firstColumn="1" w:firstRow="1" w:lastColumn="0" w:lastRow="0" w:noHBand="0" w:noVBand="1" w:val="04A0"/>
        <w:tblCaption w:val="Governance cadence"/>
        <w:tblDescription w:val="Recurring governance activities with a default cadence and a fillable owner column."/>
      </w:tblPr>
      <w:tblGrid>
        <w:gridCol w:w="3000"/>
        <w:gridCol w:w="2760"/>
        <w:gridCol w:w="3600"/>
      </w:tblGrid>
      <w:tr>
        <w:trPr>
          <w:tblHeader w:val="true"/>
        </w:trPr>
        <w:tc>
          <w:tcPr>
            <w:tcW w:type="dxa" w:w="30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Activity</w:t>
            </w:r>
          </w:p>
        </w:tc>
        <w:tc>
          <w:tcPr>
            <w:tcW w:type="dxa" w:w="276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Default cadence</w:t>
            </w:r>
          </w:p>
        </w:tc>
        <w:tc>
          <w:tcPr>
            <w:tcW w:type="dxa" w:w="36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Owned by</w:t>
            </w:r>
          </w:p>
        </w:tc>
      </w:tr>
      <w:tr>
        <w:tc>
          <w:tcPr>
            <w:tcW w:type="dxa" w:w="30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
            </w:pPr>
            <w:r>
              <w:rPr>
                <w:rFonts w:ascii="IBM Plex Sans" w:hAnsi="IBM Plex Sans" w:cs="IBM Plex Sans"/>
                <w:color w:val="0B0E11"/>
                <w:sz w:val="20"/>
              </w:rPr>
              <w:t>Review who has access</w:t>
            </w:r>
          </w:p>
        </w:tc>
        <w:tc>
          <w:tcPr>
            <w:tcW w:type="dxa" w:w="276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Sm"/>
            </w:pPr>
            <w:r>
              <w:rPr>
                <w:rFonts w:ascii="IBM Plex Sans" w:hAnsi="IBM Plex Sans" w:cs="IBM Plex Sans"/>
                <w:color w:val="3A444C"/>
                <w:sz w:val="18"/>
              </w:rPr>
              <w:t>Quarterly</w:t>
            </w:r>
          </w:p>
        </w:tc>
        <w:tc>
          <w:tcPr>
            <w:tcW w:type="dxa" w:w="36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Placeholder"/>
            </w:pPr>
            <w:r>
              <w:rPr>
                <w:rFonts w:ascii="IBM Plex Sans" w:hAnsi="IBM Plex Sans" w:cs="IBM Plex Sans"/>
                <w:i/>
                <w:color w:val="6B7680"/>
                <w:sz w:val="20"/>
              </w:rPr>
              <w:t>Enter role</w:t>
            </w:r>
          </w:p>
        </w:tc>
      </w:tr>
      <w:tr>
        <w:tc>
          <w:tcPr>
            <w:tcW w:type="dxa" w:w="30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
            </w:pPr>
            <w:r>
              <w:rPr>
                <w:rFonts w:ascii="IBM Plex Sans" w:hAnsi="IBM Plex Sans" w:cs="IBM Plex Sans"/>
                <w:color w:val="0B0E11"/>
                <w:sz w:val="20"/>
              </w:rPr>
              <w:t>Review data classifications</w:t>
            </w:r>
          </w:p>
        </w:tc>
        <w:tc>
          <w:tcPr>
            <w:tcW w:type="dxa" w:w="276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Sm"/>
            </w:pPr>
            <w:r>
              <w:rPr>
                <w:rFonts w:ascii="IBM Plex Sans" w:hAnsi="IBM Plex Sans" w:cs="IBM Plex Sans"/>
                <w:color w:val="3A444C"/>
                <w:sz w:val="18"/>
              </w:rPr>
              <w:t>Annually</w:t>
            </w:r>
          </w:p>
        </w:tc>
        <w:tc>
          <w:tcPr>
            <w:tcW w:type="dxa" w:w="36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Placeholder"/>
            </w:pPr>
            <w:r>
              <w:rPr>
                <w:rFonts w:ascii="IBM Plex Sans" w:hAnsi="IBM Plex Sans" w:cs="IBM Plex Sans"/>
                <w:i/>
                <w:color w:val="6B7680"/>
                <w:sz w:val="20"/>
              </w:rPr>
              <w:t>Enter role</w:t>
            </w:r>
          </w:p>
        </w:tc>
      </w:tr>
      <w:tr>
        <w:tc>
          <w:tcPr>
            <w:tcW w:type="dxa" w:w="30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
            </w:pPr>
            <w:r>
              <w:rPr>
                <w:rFonts w:ascii="IBM Plex Sans" w:hAnsi="IBM Plex Sans" w:cs="IBM Plex Sans"/>
                <w:color w:val="0B0E11"/>
                <w:sz w:val="20"/>
              </w:rPr>
              <w:t>Review vendors that hold data</w:t>
            </w:r>
          </w:p>
        </w:tc>
        <w:tc>
          <w:tcPr>
            <w:tcW w:type="dxa" w:w="276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Sm"/>
            </w:pPr>
            <w:r>
              <w:rPr>
                <w:rFonts w:ascii="IBM Plex Sans" w:hAnsi="IBM Plex Sans" w:cs="IBM Plex Sans"/>
                <w:color w:val="3A444C"/>
                <w:sz w:val="18"/>
              </w:rPr>
              <w:t>Annually, and before onboarding</w:t>
            </w:r>
          </w:p>
        </w:tc>
        <w:tc>
          <w:tcPr>
            <w:tcW w:type="dxa" w:w="36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Placeholder"/>
            </w:pPr>
            <w:r>
              <w:rPr>
                <w:rFonts w:ascii="IBM Plex Sans" w:hAnsi="IBM Plex Sans" w:cs="IBM Plex Sans"/>
                <w:i/>
                <w:color w:val="6B7680"/>
                <w:sz w:val="20"/>
              </w:rPr>
              <w:t>Enter role</w:t>
            </w:r>
          </w:p>
        </w:tc>
      </w:tr>
      <w:tr>
        <w:tc>
          <w:tcPr>
            <w:tcW w:type="dxa" w:w="30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
            </w:pPr>
            <w:r>
              <w:rPr>
                <w:rFonts w:ascii="IBM Plex Sans" w:hAnsi="IBM Plex Sans" w:cs="IBM Plex Sans"/>
                <w:color w:val="0B0E11"/>
                <w:sz w:val="20"/>
              </w:rPr>
              <w:t>Test backups and the incident plan</w:t>
            </w:r>
          </w:p>
        </w:tc>
        <w:tc>
          <w:tcPr>
            <w:tcW w:type="dxa" w:w="276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Sm"/>
            </w:pPr>
            <w:r>
              <w:rPr>
                <w:rFonts w:ascii="IBM Plex Sans" w:hAnsi="IBM Plex Sans" w:cs="IBM Plex Sans"/>
                <w:color w:val="3A444C"/>
                <w:sz w:val="18"/>
              </w:rPr>
              <w:t>Twice a year</w:t>
            </w:r>
          </w:p>
        </w:tc>
        <w:tc>
          <w:tcPr>
            <w:tcW w:type="dxa" w:w="36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Placeholder"/>
            </w:pPr>
            <w:r>
              <w:rPr>
                <w:rFonts w:ascii="IBM Plex Sans" w:hAnsi="IBM Plex Sans" w:cs="IBM Plex Sans"/>
                <w:i/>
                <w:color w:val="6B7680"/>
                <w:sz w:val="20"/>
              </w:rPr>
              <w:t>Enter role</w:t>
            </w:r>
          </w:p>
        </w:tc>
      </w:tr>
      <w:tr>
        <w:tc>
          <w:tcPr>
            <w:tcW w:type="dxa" w:w="30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
            </w:pPr>
            <w:r>
              <w:rPr>
                <w:rFonts w:ascii="IBM Plex Sans" w:hAnsi="IBM Plex Sans" w:cs="IBM Plex Sans"/>
                <w:color w:val="0B0E11"/>
                <w:sz w:val="20"/>
              </w:rPr>
              <w:t>Review this operating model</w:t>
            </w:r>
          </w:p>
        </w:tc>
        <w:tc>
          <w:tcPr>
            <w:tcW w:type="dxa" w:w="276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CellTxtSm"/>
            </w:pPr>
            <w:r>
              <w:rPr>
                <w:rFonts w:ascii="IBM Plex Sans" w:hAnsi="IBM Plex Sans" w:cs="IBM Plex Sans"/>
                <w:color w:val="3A444C"/>
                <w:sz w:val="18"/>
              </w:rPr>
              <w:t>Annually, and on major change</w:t>
            </w:r>
          </w:p>
        </w:tc>
        <w:tc>
          <w:tcPr>
            <w:tcW w:type="dxa" w:w="3600"/>
            <w:tcBorders>
              <w:top w:val="single" w:sz="4" w:space="0" w:color="E3E3DC"/>
              <w:left w:val="single" w:sz="4" w:space="0" w:color="E3E3DC"/>
              <w:bottom w:val="single" w:sz="4" w:space="0" w:color="E3E3DC"/>
              <w:right w:val="single" w:sz="4" w:space="0" w:color="E3E3DC"/>
            </w:tcBorders>
            <w:tcMar>
              <w:top w:w="80" w:type="dxa"/>
              <w:left w:w="110" w:type="dxa"/>
              <w:bottom w:w="80" w:type="dxa"/>
              <w:right w:w="110" w:type="dxa"/>
            </w:tcMar>
          </w:tcPr>
          <w:p>
            <w:pPr>
              <w:pStyle w:val="Placeholder"/>
            </w:pPr>
            <w:r>
              <w:rPr>
                <w:rFonts w:ascii="IBM Plex Sans" w:hAnsi="IBM Plex Sans" w:cs="IBM Plex Sans"/>
                <w:i/>
                <w:color w:val="6B7680"/>
                <w:sz w:val="20"/>
              </w:rPr>
              <w:t>Enter role</w:t>
            </w:r>
          </w:p>
        </w:tc>
      </w:tr>
    </w:tbl>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where this sits in the kit</w:t>
      </w:r>
    </w:p>
    <w:p>
      <w:r>
        <w:t xml:space="preserve">This model puts people behind the rest of the kit. The </w:t>
      </w:r>
      <w:r>
        <w:rPr>
          <w:b/>
        </w:rPr>
        <w:t>Data Classification Policy</w:t>
      </w:r>
      <w:r>
        <w:t xml:space="preserve"> defines the tiers, the </w:t>
      </w:r>
      <w:r>
        <w:rPr>
          <w:b/>
        </w:rPr>
        <w:t>Data Handling Matrix</w:t>
      </w:r>
      <w:r>
        <w:t xml:space="preserve"> sets the rules, and this model says who applies them and when. The Maturity Assessment shows where to start.</w:t>
      </w: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approval</w:t>
      </w:r>
    </w:p>
    <w:p>
      <w:pPr>
        <w:pStyle w:val="Heading1"/>
      </w:pPr>
      <w:r>
        <w:t>Sign-off</w:t>
      </w:r>
    </w:p>
    <w:tbl>
      <w:tblPr>
        <w:tblW w:w="9360" w:type="dxa"/>
        <w:tblLook w:firstColumn="1" w:firstRow="1" w:lastColumn="0" w:lastRow="0" w:noHBand="0" w:noVBand="1" w:val="04A0"/>
      </w:tblPr>
      <w:tblGrid>
        <w:gridCol w:w="2600"/>
        <w:gridCol w:w="6760"/>
      </w:tblGrid>
      <w:tr>
        <w:trPr>
          <w:tblHeader w:val="true"/>
        </w:trPr>
        <w:tc>
          <w:tcPr>
            <w:tcW w:type="dxa" w:w="26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Field</w:t>
            </w:r>
          </w:p>
        </w:tc>
        <w:tc>
          <w:tcPr>
            <w:tcW w:type="dxa" w:w="676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Entry</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Approved by, name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name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Title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title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Signature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Sign here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Date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date</w:t>
            </w:r>
          </w:p>
        </w:tc>
      </w:tr>
    </w:tbl>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BASE METAL  ·  OPERATING MODEL v1.0</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Pr>
        <w:rFonts w:ascii="IBM Plex Mono" w:hAnsi="IBM Plex Mono" w:cs="IBM Plex Mono"/>
        <w:caps/>
        <w:color w:val="6B7680"/>
        <w:sz w:val="16"/>
      </w:rPr>
      <w:t>The Cyber Alchemist  ·  Base Metal</w:t>
    </w:r>
    <w:r>
      <w:rPr>
        <w:rFonts w:ascii="IBM Plex Mono" w:hAnsi="IBM Plex Mono" w:cs="IBM Plex Mono"/>
      </w:rPr>
      <w:tab/>
    </w:r>
    <w:r>
      <w:rPr>
        <w:rFonts w:ascii="IBM Plex Mono" w:hAnsi="IBM Plex Mono" w:cs="IBM Plex Mono"/>
        <w:caps/>
        <w:color w:val="6B7680"/>
        <w:sz w:val="16"/>
      </w:rPr>
      <w:t>Data Governance Operating Model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2"/>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6"/>
    </w:rPr>
  </w:style>
  <w:style w:type="paragraph" w:customStyle="1" w:styleId="TileSymG">
    <w:name w:val="TileSymG"/>
    <w:basedOn w:val="Normal"/>
    <w:pPr>
      <w:spacing w:before="0" w:after="0" w:line="240" w:lineRule="auto"/>
    </w:pPr>
    <w:rPr>
      <w:rFonts w:ascii="Sora" w:hAnsi="Sora" w:cs="Sora"/>
      <w:b/>
      <w:color w:val="FBE08F"/>
      <w:sz w:val="60"/>
    </w:rPr>
  </w:style>
  <w:style w:type="paragraph" w:customStyle="1" w:styleId="TileNameG">
    <w:name w:val="TileNameG"/>
    <w:basedOn w:val="Normal"/>
    <w:pPr>
      <w:spacing w:before="120" w:after="0" w:line="240" w:lineRule="auto"/>
    </w:pPr>
    <w:rPr>
      <w:rFonts w:ascii="IBM Plex Mono" w:hAnsi="IBM Plex Mono" w:cs="IBM Plex Mono"/>
      <w:b w:val="0"/>
      <w:caps/>
      <w:color w:val="E9BD55"/>
      <w:spacing w:val="24"/>
      <w:sz w:val="16"/>
    </w:rPr>
  </w:style>
  <w:style w:type="paragraph" w:customStyle="1" w:styleId="DeviceCap">
    <w:name w:val="DeviceCap"/>
    <w:basedOn w:val="Normal"/>
    <w:pPr>
      <w:spacing w:before="160" w:after="80" w:line="336" w:lineRule="auto"/>
    </w:pPr>
    <w:rPr>
      <w:rFonts w:ascii="IBM Plex Mono" w:hAnsi="IBM Plex Mono" w:cs="IBM Plex Mono"/>
      <w:b w:val="0"/>
      <w:caps/>
      <w:color w:val="5A6B75"/>
      <w:spacing w:val="24"/>
      <w:sz w:val="1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HeadCellTxt">
    <w:name w:val="HeadCellTxt"/>
    <w:basedOn w:val="Normal"/>
    <w:pPr>
      <w:spacing w:before="0" w:after="0" w:line="264" w:lineRule="auto"/>
    </w:pPr>
    <w:rPr>
      <w:rFonts w:ascii="IBM Plex Mono" w:hAnsi="IBM Plex Mono" w:cs="IBM Plex Mono"/>
      <w:b w:val="0"/>
      <w:caps/>
      <w:color w:val="6B7680"/>
      <w:spacing w:val="18"/>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CellTxtSm">
    <w:name w:val="CellTxtSm"/>
    <w:basedOn w:val="Normal"/>
    <w:pPr>
      <w:spacing w:before="0" w:after="0" w:line="300" w:lineRule="auto"/>
    </w:pPr>
    <w:rPr>
      <w:rFonts w:ascii="IBM Plex Sans" w:hAnsi="IBM Plex Sans" w:cs="IBM Plex Sans"/>
      <w:b w:val="0"/>
      <w:color w:val="3A444C"/>
      <w:sz w:val="18"/>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RaciCell">
    <w:name w:val="RaciCell"/>
    <w:basedOn w:val="Normal"/>
    <w:pPr>
      <w:spacing w:before="0" w:after="0" w:line="264" w:lineRule="auto"/>
      <w:jc w:val="center"/>
    </w:pPr>
    <w:rPr>
      <w:rFonts w:ascii="IBM Plex Mono" w:hAnsi="IBM Plex Mono" w:cs="IBM Plex Mono"/>
      <w:b w:val="0"/>
      <w:color w:val="0B0E11"/>
      <w:sz w:val="19"/>
    </w:rPr>
  </w:style>
  <w:style w:type="paragraph" w:customStyle="1" w:styleId="RaciHead">
    <w:name w:val="RaciHead"/>
    <w:basedOn w:val="Normal"/>
    <w:pPr>
      <w:spacing w:before="0" w:after="0" w:line="252" w:lineRule="auto"/>
      <w:jc w:val="center"/>
    </w:pPr>
    <w:rPr>
      <w:rFonts w:ascii="IBM Plex Mono" w:hAnsi="IBM Plex Mono" w:cs="IBM Plex Mono"/>
      <w:b w:val="0"/>
      <w:caps/>
      <w:color w:val="6B7680"/>
      <w:spacing w:val="10"/>
      <w:sz w:val="15"/>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LegendTxt">
    <w:name w:val="LegendTxt"/>
    <w:basedOn w:val="Normal"/>
    <w:pPr>
      <w:spacing w:before="0" w:after="40" w:line="336" w:lineRule="auto"/>
    </w:pPr>
    <w:rPr>
      <w:rFonts w:ascii="IBM Plex Sans" w:hAnsi="IBM Plex Sans" w:cs="IBM Plex Sans"/>
      <w:b w:val="0"/>
      <w:color w:val="3A444C"/>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s>
</file>

<file path=word/_rels/fontTable.xml.rels><?xml version="1.0" encoding="UTF-8" standalone="yes"?><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Metal - Data Governance Operating Model</dc:title>
  <dc:subject>Base Metal, data classification and governance starter kit</dc:subject>
  <dc:creator>Tim D. Tipton Jr.</dc:creator>
  <cp:keywords>Base Metal, data classification, data governance, small business, templates</cp:keywords>
  <dc:description>
</dc:description>
  <cp:lastModifiedBy>Tim D. Tipton Jr.</cp:lastModifiedBy>
  <cp:revision>1</cp:revision>
  <dcterms:created xsi:type="dcterms:W3CDTF">2026-07-24T00:00:00Z</dcterms:created>
  <dcterms:modified xsi:type="dcterms:W3CDTF">2026-07-24T00:00:00Z</dcterms:modified>
  <cp:category>Cybersecurity Framework</cp:category>
  <dc:language>en-US</dc:language>
</cp:coreProperties>
</file>