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png" ContentType="image/png"/>
  <Default Extension="odttf" ContentType="application/vnd.openxmlformats-officedocument.obfuscatedFont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anchor distT="0" distB="0" distL="0" distR="0" simplePos="0" relativeHeight="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01" name="CoverBackground" descr="Dark cover background panel"/>
            <wp:cNvGraphicFramePr>
              <a:graphicFrameLocks xmlns:a="http://schemas.openxmlformats.org/drawingml/2006/main" noChangeAsp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CoverBackground" descr="Dark cover background panel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08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firstColumn="1" w:firstRow="1" w:lastColumn="0" w:lastRow="0" w:noHBand="0" w:noVBand="1" w:val="04A0"/>
      </w:tblPr>
      <w:tblGrid>
        <w:gridCol w:w="620"/>
        <w:gridCol w:w="9460"/>
      </w:tblGrid>
      <w:tr>
        <w:tc>
          <w:tcPr>
            <w:tcW w:type="dxa" w:w="620"/>
            <w:tcBorders>
              <w:top w:val="single" w:sz="8" w:space="0" w:color="E9BD55"/>
              <w:left w:val="single" w:sz="8" w:space="0" w:color="E9BD55"/>
              <w:bottom w:val="single" w:sz="8" w:space="0" w:color="E9BD55"/>
              <w:right w:val="single" w:sz="8" w:space="0" w:color="E9BD55"/>
            </w:tcBorders>
            <w:shd w:val="clear" w:color="auto" w:fill="141C22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>
            <w:pPr>
              <w:pStyle w:val="SigilTxt"/>
              <w:jc w:val="center"/>
            </w:pPr>
            <w:r>
              <w:rPr>
                <w:rFonts w:ascii="IBM Plex Mono" w:hAnsi="IBM Plex Mono" w:cs="IBM Plex Mono"/>
                <w:color w:val="5A6B75"/>
                <w:sz w:val="12"/>
              </w:rPr>
              <w:t>79</w:t>
            </w:r>
            <w:r>
              <w:rPr>
                <w:rFonts w:ascii="IBM Plex Mono" w:hAnsi="IBM Plex Mono" w:cs="IBM Plex Mono"/>
                <w:b/>
                <w:color w:val="FBE08F"/>
                <w:sz w:val="26"/>
              </w:rPr>
              <w:t xml:space="preserve"> Au</w:t>
            </w:r>
          </w:p>
        </w:tc>
        <w:tc>
          <w:tcPr>
            <w:tcW w:type="dxa" w:w="9460"/>
            <w:vAlign w:val="center"/>
          </w:tcPr>
          <w:p>
            <w:pPr>
              <w:pStyle w:val="WordMark"/>
            </w:pPr>
            <w:r>
              <w:rPr>
                <w:rFonts w:ascii="IBM Plex Mono" w:hAnsi="IBM Plex Mono" w:cs="IBM Plex Mono"/>
                <w:caps/>
                <w:color w:val="EAF0F2"/>
                <w:sz w:val="22"/>
              </w:rPr>
              <w:t>Cyber Alchemist</w:t>
            </w:r>
          </w:p>
        </w:tc>
      </w:tr>
    </w:tbl>
    <w:p>
      <w:pPr>
        <w:pStyle w:val="CoverKicker"/>
      </w:pPr>
      <w:r>
        <w:rPr>
          <w:rFonts w:ascii="IBM Plex Mono" w:hAnsi="IBM Plex Mono" w:cs="IBM Plex Mono"/>
          <w:color w:val="10A878"/>
          <w:sz w:val="18"/>
        </w:rPr>
        <w:t xml:space="preserve">// </w:t>
      </w:r>
      <w:r>
        <w:rPr>
          <w:rFonts w:ascii="IBM Plex Mono" w:hAnsi="IBM Plex Mono" w:cs="IBM Plex Mono"/>
          <w:caps/>
          <w:color w:val="21E0A0"/>
          <w:sz w:val="18"/>
        </w:rPr>
        <w:t>a template</w:t>
      </w:r>
    </w:p>
    <w:p>
      <w:pPr>
        <w:pStyle w:val="CoverTitle"/>
      </w:pPr>
      <w:r>
        <w:t>Data Handling Matrix</w:t>
      </w:r>
    </w:p>
    <w:p>
      <w:pPr>
        <w:pStyle w:val="CoverDeck"/>
      </w:pPr>
      <w:r>
        <w:t>One page that turns the classification tiers into action. For each tier, the rule at every stage of the data lifecycle. Pin it up.</w:t>
      </w:r>
    </w:p>
    <w:p>
      <w:pPr>
        <w:pStyle w:val="CoverAttrib"/>
      </w:pPr>
      <w:r>
        <w:t>Tim D. Tipton Jr.  ·  The Cyber Alchemist</w:t>
      </w:r>
    </w:p>
    <w:tbl>
      <w:tblPr>
        <w:tblW w:w="540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firstColumn="1" w:firstRow="1" w:lastColumn="0" w:lastRow="0" w:noHBand="0" w:noVBand="1" w:val="04A0"/>
      </w:tblPr>
      <w:tblGrid>
        <w:gridCol w:w="2200"/>
        <w:gridCol w:w="1000"/>
        <w:gridCol w:w="2200"/>
      </w:tblGrid>
      <w:tr>
        <w:tc>
          <w:tcPr>
            <w:tcW w:type="dxa" w:w="2200"/>
            <w:tcBorders>
              <w:top w:val="single" w:sz="6" w:space="0" w:color="1E2A31"/>
              <w:left w:val="single" w:sz="6" w:space="0" w:color="1E2A31"/>
              <w:bottom w:val="single" w:sz="6" w:space="0" w:color="1E2A31"/>
              <w:right w:val="single" w:sz="6" w:space="0" w:color="1E2A31"/>
            </w:tcBorders>
            <w:shd w:val="clear" w:color="auto" w:fill="141C22"/>
            <w:tcMar>
              <w:top w:w="14" w:type="dxa"/>
              <w:left w:w="16" w:type="dxa"/>
              <w:bottom w:w="14" w:type="dxa"/>
              <w:right w:w="16" w:type="dxa"/>
            </w:tcMar>
          </w:tcPr>
          <w:p>
            <w:pPr>
              <w:pStyle w:val="TileIdx"/>
            </w:pPr>
            <w:r>
              <w:rPr>
                <w:rFonts w:ascii="IBM Plex Mono" w:hAnsi="IBM Plex Mono" w:cs="IBM Plex Mono"/>
                <w:color w:val="5A6B75"/>
                <w:sz w:val="15"/>
              </w:rPr>
              <w:t>82</w:t>
            </w:r>
          </w:p>
          <w:p>
            <w:pPr>
              <w:pStyle w:val="TileSym"/>
            </w:pPr>
            <w:r>
              <w:rPr>
                <w:rFonts w:ascii="Sora" w:hAnsi="Sora" w:cs="Sora"/>
                <w:b/>
                <w:color w:val="EAF0F2"/>
                <w:sz w:val="44"/>
              </w:rPr>
              <w:t>Pb</w:t>
            </w:r>
          </w:p>
          <w:p>
            <w:pPr>
              <w:pStyle w:val="TileName"/>
            </w:pPr>
            <w:r>
              <w:rPr>
                <w:rFonts w:ascii="IBM Plex Mono" w:hAnsi="IBM Plex Mono" w:cs="IBM Plex Mono"/>
                <w:caps/>
                <w:color w:val="8FA0AB"/>
                <w:sz w:val="15"/>
              </w:rPr>
              <w:t>Raw data</w:t>
            </w:r>
          </w:p>
        </w:tc>
        <w:tc>
          <w:tcPr>
            <w:tcW w:type="dxa" w:w="1000"/>
            <w:vAlign w:val="center"/>
          </w:tcPr>
          <w:p>
            <w:pPr>
              <w:pStyle w:val="ArrowTxt"/>
            </w:pPr>
            <w:r>
              <w:rPr>
                <w:rFonts w:ascii="IBM Plex Mono" w:hAnsi="IBM Plex Mono" w:cs="IBM Plex Mono"/>
                <w:b/>
                <w:color w:val="21E0A0"/>
                <w:sz w:val="44"/>
              </w:rPr>
              <w:t>→</w:t>
            </w:r>
          </w:p>
        </w:tc>
        <w:tc>
          <w:tcPr>
            <w:tcW w:type="dxa" w:w="2200"/>
            <w:tcBorders>
              <w:top w:val="single" w:sz="14" w:space="0" w:color="E9BD55"/>
              <w:left w:val="single" w:sz="14" w:space="0" w:color="E9BD55"/>
              <w:bottom w:val="single" w:sz="14" w:space="0" w:color="E9BD55"/>
              <w:right w:val="single" w:sz="14" w:space="0" w:color="E9BD55"/>
            </w:tcBorders>
            <w:shd w:val="clear" w:color="auto" w:fill="141C22"/>
            <w:tcMar>
              <w:top w:w="14" w:type="dxa"/>
              <w:left w:w="16" w:type="dxa"/>
              <w:bottom w:w="14" w:type="dxa"/>
              <w:right w:w="16" w:type="dxa"/>
            </w:tcMar>
          </w:tcPr>
          <w:p>
            <w:pPr>
              <w:pStyle w:val="TileIdxG"/>
            </w:pPr>
            <w:r>
              <w:rPr>
                <w:rFonts w:ascii="IBM Plex Mono" w:hAnsi="IBM Plex Mono" w:cs="IBM Plex Mono"/>
                <w:color w:val="E9BD55"/>
                <w:sz w:val="15"/>
              </w:rPr>
              <w:t>79</w:t>
            </w:r>
          </w:p>
          <w:p>
            <w:pPr>
              <w:pStyle w:val="TileSymG"/>
            </w:pPr>
            <w:r>
              <w:rPr>
                <w:rFonts w:ascii="Sora" w:hAnsi="Sora" w:cs="Sora"/>
                <w:b/>
                <w:color w:val="FBE08F"/>
                <w:sz w:val="44"/>
              </w:rPr>
              <w:t>Au</w:t>
            </w:r>
          </w:p>
          <w:p>
            <w:pPr>
              <w:pStyle w:val="TileNameG"/>
            </w:pPr>
            <w:r>
              <w:rPr>
                <w:rFonts w:ascii="IBM Plex Mono" w:hAnsi="IBM Plex Mono" w:cs="IBM Plex Mono"/>
                <w:caps/>
                <w:color w:val="E9BD55"/>
                <w:sz w:val="15"/>
              </w:rPr>
              <w:t>Under control</w:t>
            </w:r>
          </w:p>
        </w:tc>
      </w:tr>
    </w:tbl>
    <w:p>
      <w:pPr>
        <w:pStyle w:val="DeviceCap"/>
      </w:pPr>
      <w:r>
        <w:t>Raw data in. Ordered handling out.</w:t>
      </w:r>
    </w:p>
    <w:p>
      <w:pPr>
        <w:sectPr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>
      <w:pPr>
        <w:pStyle w:val="Kicker"/>
      </w:pPr>
      <w:r>
        <w:rPr>
          <w:rFonts w:ascii="IBM Plex Mono" w:hAnsi="IBM Plex Mono" w:cs="IBM Plex Mono"/>
          <w:color w:val="0E8E66"/>
          <w:sz w:val="17"/>
        </w:rPr>
        <w:t xml:space="preserve">// </w:t>
      </w:r>
      <w:r>
        <w:rPr>
          <w:rFonts w:ascii="IBM Plex Mono" w:hAnsi="IBM Plex Mono" w:cs="IBM Plex Mono"/>
          <w:caps/>
          <w:color w:val="0E8E66"/>
          <w:sz w:val="17"/>
        </w:rPr>
        <w:t>the matrix</w:t>
      </w:r>
    </w:p>
    <w:p>
      <w:pPr>
        <w:pStyle w:val="Heading1"/>
      </w:pPr>
      <w:r>
        <w:t>Handling rules by tier and lifecycle stage</w:t>
      </w:r>
    </w:p>
    <w:p>
      <w:r>
        <w:t>Find the tier down the side and the lifecycle stage across the top. The cell is the rule. Defaults built on CIS Controls v8 Control 3 and NIST CSF 2.0 Protect. Tighten them for your business, never loosen below them.</w:t>
      </w:r>
    </w:p>
    <w:tbl>
      <w:tblPr>
        <w:tblW w:w="9360" w:type="dxa"/>
        <w:tblLook w:firstColumn="1" w:firstRow="1" w:lastColumn="0" w:lastRow="0" w:noHBand="0" w:noVBand="1" w:val="04A0"/>
        <w:tblCaption w:val="Data handling matrix"/>
        <w:tblDescription w:val="Handling rules for each classification tier across the data lifecycle stages: label, store, transmit, share and access, retain, dispose."/>
      </w:tblPr>
      <w:tblGrid>
        <w:gridCol w:w="1560"/>
        <w:gridCol w:w="1300"/>
        <w:gridCol w:w="1300"/>
        <w:gridCol w:w="1300"/>
        <w:gridCol w:w="1300"/>
        <w:gridCol w:w="1300"/>
        <w:gridCol w:w="1300"/>
      </w:tblGrid>
      <w:tr>
        <w:trPr>
          <w:tblHeader w:val="true"/>
        </w:trPr>
        <w:tc>
          <w:tcPr>
            <w:tcW w:type="dxa" w:w="15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Head"/>
            </w:pPr>
            <w:r>
              <w:rPr>
                <w:rFonts w:ascii="IBM Plex Mono" w:hAnsi="IBM Plex Mono" w:cs="IBM Plex Mono"/>
                <w:caps/>
                <w:color w:val="6B7680"/>
                <w:sz w:val="15"/>
              </w:rPr>
              <w:t>Tier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Head"/>
            </w:pPr>
            <w:r>
              <w:rPr>
                <w:rFonts w:ascii="IBM Plex Mono" w:hAnsi="IBM Plex Mono" w:cs="IBM Plex Mono"/>
                <w:caps/>
                <w:color w:val="6B7680"/>
                <w:sz w:val="15"/>
              </w:rPr>
              <w:t>Label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Head"/>
            </w:pPr>
            <w:r>
              <w:rPr>
                <w:rFonts w:ascii="IBM Plex Mono" w:hAnsi="IBM Plex Mono" w:cs="IBM Plex Mono"/>
                <w:caps/>
                <w:color w:val="6B7680"/>
                <w:sz w:val="15"/>
              </w:rPr>
              <w:t>Store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Head"/>
            </w:pPr>
            <w:r>
              <w:rPr>
                <w:rFonts w:ascii="IBM Plex Mono" w:hAnsi="IBM Plex Mono" w:cs="IBM Plex Mono"/>
                <w:caps/>
                <w:color w:val="6B7680"/>
                <w:sz w:val="15"/>
              </w:rPr>
              <w:t>Transmit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Head"/>
            </w:pPr>
            <w:r>
              <w:rPr>
                <w:rFonts w:ascii="IBM Plex Mono" w:hAnsi="IBM Plex Mono" w:cs="IBM Plex Mono"/>
                <w:caps/>
                <w:color w:val="6B7680"/>
                <w:sz w:val="15"/>
              </w:rPr>
              <w:t>Share &amp; Access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Head"/>
            </w:pPr>
            <w:r>
              <w:rPr>
                <w:rFonts w:ascii="IBM Plex Mono" w:hAnsi="IBM Plex Mono" w:cs="IBM Plex Mono"/>
                <w:caps/>
                <w:color w:val="6B7680"/>
                <w:sz w:val="15"/>
              </w:rPr>
              <w:t>Retain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Head"/>
            </w:pPr>
            <w:r>
              <w:rPr>
                <w:rFonts w:ascii="IBM Plex Mono" w:hAnsi="IBM Plex Mono" w:cs="IBM Plex Mono"/>
                <w:caps/>
                <w:color w:val="6B7680"/>
                <w:sz w:val="15"/>
              </w:rPr>
              <w:t>Dispose</w:t>
            </w:r>
          </w:p>
        </w:tc>
      </w:tr>
      <w:tr>
        <w:tc>
          <w:tcPr>
            <w:tcW w:type="dxa" w:w="15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pStyle w:val="MxTier"/>
            </w:pPr>
            <w:r>
              <w:rPr>
                <w:rFonts w:ascii="Sora" w:hAnsi="Sora" w:cs="Sora"/>
                <w:color w:val="0B0E11"/>
                <w:sz w:val="21"/>
              </w:rPr>
              <w:t>Public</w:t>
            </w:r>
          </w:p>
          <w:p>
            <w:pPr>
              <w:pStyle w:val="MxTierTag"/>
            </w:pPr>
            <w:r>
              <w:rPr>
                <w:rFonts w:ascii="IBM Plex Mono" w:hAnsi="IBM Plex Mono" w:cs="IBM Plex Mono"/>
                <w:caps/>
                <w:color w:val="6B7680"/>
                <w:sz w:val="13"/>
              </w:rPr>
              <w:t>Public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LabelCell"/>
            </w:pPr>
            <w:r>
              <w:rPr>
                <w:rFonts w:ascii="IBM Plex Sans" w:hAnsi="IBM Plex Sans" w:cs="IBM Plex Sans"/>
                <w:color w:val="0B0E11"/>
                <w:sz w:val="16"/>
              </w:rPr>
              <w:t>Public, or unmarked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Any approved system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Any channel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Open to all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Per business need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Standard delete</w:t>
            </w:r>
          </w:p>
        </w:tc>
      </w:tr>
      <w:tr>
        <w:tc>
          <w:tcPr>
            <w:tcW w:type="dxa" w:w="15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pStyle w:val="MxTier"/>
            </w:pPr>
            <w:r>
              <w:rPr>
                <w:rFonts w:ascii="Sora" w:hAnsi="Sora" w:cs="Sora"/>
                <w:color w:val="0B0E11"/>
                <w:sz w:val="21"/>
              </w:rPr>
              <w:t>Internal</w:t>
            </w:r>
          </w:p>
          <w:p>
            <w:pPr>
              <w:pStyle w:val="MxTierTag"/>
            </w:pPr>
            <w:r>
              <w:rPr>
                <w:rFonts w:ascii="IBM Plex Mono" w:hAnsi="IBM Plex Mono" w:cs="IBM Plex Mono"/>
                <w:caps/>
                <w:color w:val="6B7680"/>
                <w:sz w:val="13"/>
              </w:rPr>
              <w:t>Internal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LabelCell"/>
            </w:pPr>
            <w:r>
              <w:rPr>
                <w:rFonts w:ascii="IBM Plex Sans" w:hAnsi="IBM Plex Sans" w:cs="IBM Plex Sans"/>
                <w:color w:val="0B0E11"/>
                <w:sz w:val="16"/>
              </w:rPr>
              <w:t>Internal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Business systems only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Internal freely, external with reason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Staff with a business need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Per need, review periodically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Empty trash, wipe devices</w:t>
            </w:r>
          </w:p>
        </w:tc>
      </w:tr>
      <w:tr>
        <w:tc>
          <w:tcPr>
            <w:tcW w:type="dxa" w:w="15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pStyle w:val="MxTier"/>
            </w:pPr>
            <w:r>
              <w:rPr>
                <w:rFonts w:ascii="Sora" w:hAnsi="Sora" w:cs="Sora"/>
                <w:color w:val="0B0E11"/>
                <w:sz w:val="21"/>
              </w:rPr>
              <w:t>Confidential</w:t>
            </w:r>
          </w:p>
          <w:p>
            <w:pPr>
              <w:pStyle w:val="MxTierTag"/>
            </w:pPr>
            <w:r>
              <w:rPr>
                <w:rFonts w:ascii="IBM Plex Mono" w:hAnsi="IBM Plex Mono" w:cs="IBM Plex Mono"/>
                <w:caps/>
                <w:color w:val="6B7680"/>
                <w:sz w:val="13"/>
              </w:rPr>
              <w:t>Confidential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LabelCell"/>
            </w:pPr>
            <w:r>
              <w:rPr>
                <w:rFonts w:ascii="IBM Plex Sans" w:hAnsi="IBM Plex Sans" w:cs="IBM Plex Sans"/>
                <w:color w:val="0B0E11"/>
                <w:sz w:val="16"/>
              </w:rPr>
              <w:t>Confidential on file, subject, and header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Encrypt at rest, access controlled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Encrypt in transit, no plain email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Need to know, Owner approves, MFA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Set a period, no stray copies</w:t>
            </w:r>
          </w:p>
        </w:tc>
        <w:tc>
          <w:tcPr>
            <w:tcW w:type="dxa" w:w="13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Secure wipe, shred, purge backups</w:t>
            </w:r>
          </w:p>
        </w:tc>
      </w:tr>
      <w:tr>
        <w:tc>
          <w:tcPr>
            <w:tcW w:type="dxa" w:w="1560"/>
            <w:tcBorders>
              <w:top w:val="dashed" w:sz="8" w:space="0" w:color="0E8E66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pStyle w:val="MxTier"/>
            </w:pPr>
            <w:r>
              <w:rPr>
                <w:rFonts w:ascii="Sora" w:hAnsi="Sora" w:cs="Sora"/>
                <w:color w:val="0B0E11"/>
                <w:sz w:val="21"/>
              </w:rPr>
              <w:t>Restricted</w:t>
            </w:r>
          </w:p>
          <w:p>
            <w:pPr>
              <w:pStyle w:val="MxTierTag"/>
            </w:pPr>
            <w:r>
              <w:rPr>
                <w:rFonts w:ascii="IBM Plex Mono" w:hAnsi="IBM Plex Mono" w:cs="IBM Plex Mono"/>
                <w:caps/>
                <w:color w:val="6B7680"/>
                <w:sz w:val="13"/>
              </w:rPr>
              <w:t>Restricted</w:t>
            </w:r>
          </w:p>
          <w:p>
            <w:pPr>
              <w:pStyle w:val="MxTierExt"/>
            </w:pPr>
            <w:r>
              <w:rPr>
                <w:rFonts w:ascii="IBM Plex Mono" w:hAnsi="IBM Plex Mono" w:cs="IBM Plex Mono"/>
                <w:caps/>
                <w:color w:val="0E8E66"/>
                <w:sz w:val="13"/>
              </w:rPr>
              <w:t>Ent. extension, optional</w:t>
            </w:r>
          </w:p>
        </w:tc>
        <w:tc>
          <w:tcPr>
            <w:tcW w:type="dxa" w:w="1300"/>
            <w:tcBorders>
              <w:top w:val="dashed" w:sz="8" w:space="0" w:color="0E8E66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LabelCell"/>
            </w:pPr>
            <w:r>
              <w:rPr>
                <w:rFonts w:ascii="IBM Plex Sans" w:hAnsi="IBM Plex Sans" w:cs="IBM Plex Sans"/>
                <w:color w:val="0B0E11"/>
                <w:sz w:val="16"/>
              </w:rPr>
              <w:t>Restricted plus the regime</w:t>
            </w:r>
          </w:p>
        </w:tc>
        <w:tc>
          <w:tcPr>
            <w:tcW w:type="dxa" w:w="1300"/>
            <w:tcBorders>
              <w:top w:val="dashed" w:sz="8" w:space="0" w:color="0E8E66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Encrypt, meet the regime, segregate</w:t>
            </w:r>
          </w:p>
        </w:tc>
        <w:tc>
          <w:tcPr>
            <w:tcW w:type="dxa" w:w="1300"/>
            <w:tcBorders>
              <w:top w:val="dashed" w:sz="8" w:space="0" w:color="0E8E66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Strong encryption, log transfers</w:t>
            </w:r>
          </w:p>
        </w:tc>
        <w:tc>
          <w:tcPr>
            <w:tcW w:type="dxa" w:w="1300"/>
            <w:tcBorders>
              <w:top w:val="dashed" w:sz="8" w:space="0" w:color="0E8E66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Strict need to know, track access</w:t>
            </w:r>
          </w:p>
        </w:tc>
        <w:tc>
          <w:tcPr>
            <w:tcW w:type="dxa" w:w="1300"/>
            <w:tcBorders>
              <w:top w:val="dashed" w:sz="8" w:space="0" w:color="0E8E66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Per regime mandate</w:t>
            </w:r>
          </w:p>
        </w:tc>
        <w:tc>
          <w:tcPr>
            <w:tcW w:type="dxa" w:w="1300"/>
            <w:tcBorders>
              <w:top w:val="dashed" w:sz="8" w:space="0" w:color="0E8E66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60" w:type="dxa"/>
              <w:left w:w="70" w:type="dxa"/>
              <w:bottom w:w="60" w:type="dxa"/>
              <w:right w:w="70" w:type="dxa"/>
            </w:tcMar>
          </w:tcPr>
          <w:p>
            <w:pPr>
              <w:pStyle w:val="MxCell"/>
            </w:pPr>
            <w:r>
              <w:rPr>
                <w:rFonts w:ascii="IBM Plex Sans" w:hAnsi="IBM Plex Sans" w:cs="IBM Plex Sans"/>
                <w:color w:val="3A444C"/>
                <w:sz w:val="16"/>
              </w:rPr>
              <w:t>Certified, record the disposal</w:t>
            </w:r>
          </w:p>
        </w:tc>
      </w:tr>
    </w:tbl>
    <w:p>
      <w:pPr>
        <w:spacing w:before="160"/>
      </w:pPr>
      <w:r>
        <w:rPr>
          <w:color w:val="3A444C"/>
          <w:sz w:val="19"/>
        </w:rPr>
        <w:t>Restricted is the optional fourth tier, the enterprise extension. Add it only when regulated data is in play. When a piece of data is unmarked or unclear, handle it as Internal at a minimum, and as Confidential if it holds personal, financial, or customer information.</w:t>
      </w:r>
    </w:p>
    <w:p>
      <w:r>
        <w:br w:type="page"/>
      </w:r>
    </w:p>
    <w:p>
      <w:pPr>
        <w:pStyle w:val="Kicker"/>
      </w:pPr>
      <w:r>
        <w:rPr>
          <w:rFonts w:ascii="IBM Plex Mono" w:hAnsi="IBM Plex Mono" w:cs="IBM Plex Mono"/>
          <w:color w:val="0E8E66"/>
          <w:sz w:val="17"/>
        </w:rPr>
        <w:t xml:space="preserve">// </w:t>
      </w:r>
      <w:r>
        <w:rPr>
          <w:rFonts w:ascii="IBM Plex Mono" w:hAnsi="IBM Plex Mono" w:cs="IBM Plex Mono"/>
          <w:caps/>
          <w:color w:val="0E8E66"/>
          <w:sz w:val="17"/>
        </w:rPr>
        <w:t>document control</w:t>
      </w:r>
    </w:p>
    <w:tbl>
      <w:tblPr>
        <w:tblW w:w="9360" w:type="dxa"/>
        <w:tblLook w:firstColumn="1" w:firstRow="1" w:lastColumn="0" w:lastRow="0" w:noHBand="0" w:noVBand="1" w:val="04A0"/>
      </w:tblPr>
      <w:tblGrid>
        <w:gridCol w:w="2700"/>
        <w:gridCol w:w="6660"/>
      </w:tblGrid>
      <w:tr>
        <w:trPr>
          <w:tblHeader w:val="true"/>
        </w:trPr>
        <w:tc>
          <w:tcPr>
            <w:tcW w:type="dxa" w:w="27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HeadCellTxt"/>
            </w:pPr>
            <w:r>
              <w:rPr>
                <w:rFonts w:ascii="IBM Plex Mono" w:hAnsi="IBM Plex Mono" w:cs="IBM Plex Mono"/>
                <w:caps/>
                <w:color w:val="6B7680"/>
                <w:sz w:val="16"/>
              </w:rPr>
              <w:t>Field</w:t>
            </w:r>
          </w:p>
        </w:tc>
        <w:tc>
          <w:tcPr>
            <w:tcW w:type="dxa" w:w="66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HeadCellTxt"/>
            </w:pPr>
            <w:r>
              <w:rPr>
                <w:rFonts w:ascii="IBM Plex Mono" w:hAnsi="IBM Plex Mono" w:cs="IBM Plex Mono"/>
                <w:caps/>
                <w:color w:val="6B7680"/>
                <w:sz w:val="16"/>
              </w:rPr>
              <w:t>Entry</w:t>
            </w:r>
          </w:p>
        </w:tc>
      </w:tr>
      <w:tr>
        <w:tc>
          <w:tcPr>
            <w:tcW w:type="dxa" w:w="27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Organization name</w:t>
            </w:r>
          </w:p>
        </w:tc>
        <w:tc>
          <w:tcPr>
            <w:tcW w:type="dxa" w:w="66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organization name</w:t>
            </w:r>
          </w:p>
        </w:tc>
      </w:tr>
      <w:tr>
        <w:tc>
          <w:tcPr>
            <w:tcW w:type="dxa" w:w="27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Matrix owner, role and name</w:t>
            </w:r>
          </w:p>
        </w:tc>
        <w:tc>
          <w:tcPr>
            <w:tcW w:type="dxa" w:w="66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role and name</w:t>
            </w:r>
          </w:p>
        </w:tc>
      </w:tr>
      <w:tr>
        <w:tc>
          <w:tcPr>
            <w:tcW w:type="dxa" w:w="27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Effective date</w:t>
            </w:r>
          </w:p>
        </w:tc>
        <w:tc>
          <w:tcPr>
            <w:tcW w:type="dxa" w:w="66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date</w:t>
            </w:r>
          </w:p>
        </w:tc>
      </w:tr>
      <w:tr>
        <w:tc>
          <w:tcPr>
            <w:tcW w:type="dxa" w:w="27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Version</w:t>
            </w:r>
          </w:p>
        </w:tc>
        <w:tc>
          <w:tcPr>
            <w:tcW w:type="dxa" w:w="66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1.0</w:t>
            </w:r>
          </w:p>
        </w:tc>
      </w:tr>
      <w:tr>
        <w:tc>
          <w:tcPr>
            <w:tcW w:type="dxa" w:w="27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Aligned to policy version</w:t>
            </w:r>
          </w:p>
        </w:tc>
        <w:tc>
          <w:tcPr>
            <w:tcW w:type="dxa" w:w="66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1.0</w:t>
            </w:r>
          </w:p>
        </w:tc>
      </w:tr>
      <w:tr>
        <w:tc>
          <w:tcPr>
            <w:tcW w:type="dxa" w:w="27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Next review date</w:t>
            </w:r>
          </w:p>
        </w:tc>
        <w:tc>
          <w:tcPr>
            <w:tcW w:type="dxa" w:w="66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date</w:t>
            </w:r>
          </w:p>
        </w:tc>
      </w:tr>
    </w:tbl>
    <w:p>
      <w:pPr>
        <w:pStyle w:val="Kicker"/>
      </w:pPr>
      <w:r>
        <w:rPr>
          <w:rFonts w:ascii="IBM Plex Mono" w:hAnsi="IBM Plex Mono" w:cs="IBM Plex Mono"/>
          <w:color w:val="0E8E66"/>
          <w:sz w:val="17"/>
        </w:rPr>
        <w:t xml:space="preserve">// </w:t>
      </w:r>
      <w:r>
        <w:rPr>
          <w:rFonts w:ascii="IBM Plex Mono" w:hAnsi="IBM Plex Mono" w:cs="IBM Plex Mono"/>
          <w:caps/>
          <w:color w:val="0E8E66"/>
          <w:sz w:val="17"/>
        </w:rPr>
        <w:t>marking conventions</w:t>
      </w:r>
    </w:p>
    <w:p>
      <w:pPr>
        <w:pStyle w:val="Heading2"/>
      </w:pPr>
      <w:r>
        <w:t>How to apply a label</w:t>
      </w:r>
    </w:p>
    <w:p>
      <w:r>
        <w:t>A label is only useful if it travels with the data. Apply it in the obvious places and keep it consistent.</w:t>
      </w:r>
    </w:p>
    <w:p>
      <w:pPr>
        <w:pStyle w:val="ListBullet"/>
      </w:pPr>
      <w:r>
        <w:t>In the file name or the document header and footer.</w:t>
      </w:r>
    </w:p>
    <w:p>
      <w:pPr>
        <w:pStyle w:val="ListBullet"/>
      </w:pPr>
      <w:r>
        <w:t>In the email subject line when sensitive data is attached or in the body.</w:t>
      </w:r>
    </w:p>
    <w:p>
      <w:pPr>
        <w:pStyle w:val="ListBullet"/>
      </w:pPr>
      <w:r>
        <w:t>On printed copies, top and bottom of the page.</w:t>
      </w:r>
    </w:p>
    <w:p>
      <w:pPr>
        <w:pStyle w:val="ListBullet"/>
      </w:pPr>
      <w:r>
        <w:t>Out loud, when handing data to someone or granting access.</w:t>
      </w:r>
    </w:p>
    <w:p>
      <w:pPr>
        <w:pStyle w:val="Kicker"/>
      </w:pPr>
      <w:r>
        <w:rPr>
          <w:rFonts w:ascii="IBM Plex Mono" w:hAnsi="IBM Plex Mono" w:cs="IBM Plex Mono"/>
          <w:color w:val="0E8E66"/>
          <w:sz w:val="17"/>
        </w:rPr>
        <w:t xml:space="preserve">// </w:t>
      </w:r>
      <w:r>
        <w:rPr>
          <w:rFonts w:ascii="IBM Plex Mono" w:hAnsi="IBM Plex Mono" w:cs="IBM Plex Mono"/>
          <w:caps/>
          <w:color w:val="0E8E66"/>
          <w:sz w:val="17"/>
        </w:rPr>
        <w:t>your specifics</w:t>
      </w:r>
    </w:p>
    <w:p>
      <w:pPr>
        <w:pStyle w:val="Heading2"/>
      </w:pPr>
      <w:r>
        <w:t>Record your approved tools per tier</w:t>
      </w:r>
    </w:p>
    <w:p>
      <w:r>
        <w:t>The rules above are the standard. Here is where this business writes down the actual systems and channels that meet each rule, so the matrix is concrete for your team.</w:t>
      </w:r>
    </w:p>
    <w:tbl>
      <w:tblPr>
        <w:tblW w:w="9360" w:type="dxa"/>
        <w:tblLook w:firstColumn="1" w:firstRow="1" w:lastColumn="0" w:lastRow="0" w:noHBand="0" w:noVBand="1" w:val="04A0"/>
        <w:tblCaption w:val="Your approved tools"/>
        <w:tblDescription w:val="A fillable table for recording approved storage and sharing channels for each tier."/>
      </w:tblPr>
      <w:tblGrid>
        <w:gridCol w:w="2200"/>
        <w:gridCol w:w="3580"/>
        <w:gridCol w:w="3580"/>
      </w:tblGrid>
      <w:tr>
        <w:trPr>
          <w:tblHeader w:val="true"/>
        </w:trPr>
        <w:tc>
          <w:tcPr>
            <w:tcW w:type="dxa" w:w="22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HeadCellTxt"/>
            </w:pPr>
            <w:r>
              <w:rPr>
                <w:rFonts w:ascii="IBM Plex Mono" w:hAnsi="IBM Plex Mono" w:cs="IBM Plex Mono"/>
                <w:caps/>
                <w:color w:val="6B7680"/>
                <w:sz w:val="16"/>
              </w:rPr>
              <w:t>Tier</w:t>
            </w:r>
          </w:p>
        </w:tc>
        <w:tc>
          <w:tcPr>
            <w:tcW w:type="dxa" w:w="358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HeadCellTxt"/>
            </w:pPr>
            <w:r>
              <w:rPr>
                <w:rFonts w:ascii="IBM Plex Mono" w:hAnsi="IBM Plex Mono" w:cs="IBM Plex Mono"/>
                <w:caps/>
                <w:color w:val="6B7680"/>
                <w:sz w:val="16"/>
              </w:rPr>
              <w:t>Approved storage and systems</w:t>
            </w:r>
          </w:p>
        </w:tc>
        <w:tc>
          <w:tcPr>
            <w:tcW w:type="dxa" w:w="358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HeadCellTxt"/>
            </w:pPr>
            <w:r>
              <w:rPr>
                <w:rFonts w:ascii="IBM Plex Mono" w:hAnsi="IBM Plex Mono" w:cs="IBM Plex Mono"/>
                <w:caps/>
                <w:color w:val="6B7680"/>
                <w:sz w:val="16"/>
              </w:rPr>
              <w:t>Approved sharing and transmit channels</w:t>
            </w:r>
          </w:p>
        </w:tc>
      </w:tr>
      <w:tr>
        <w:tc>
          <w:tcPr>
            <w:tcW w:type="dxa" w:w="22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b/>
                <w:color w:val="0B0E11"/>
                <w:sz w:val="20"/>
              </w:rPr>
              <w:t>Public</w:t>
            </w:r>
          </w:p>
        </w:tc>
        <w:tc>
          <w:tcPr>
            <w:tcW w:type="dxa" w:w="358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your tools</w:t>
            </w:r>
          </w:p>
        </w:tc>
        <w:tc>
          <w:tcPr>
            <w:tcW w:type="dxa" w:w="358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your tools</w:t>
            </w:r>
          </w:p>
        </w:tc>
      </w:tr>
      <w:tr>
        <w:tc>
          <w:tcPr>
            <w:tcW w:type="dxa" w:w="22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b/>
                <w:color w:val="0B0E11"/>
                <w:sz w:val="20"/>
              </w:rPr>
              <w:t>Internal</w:t>
            </w:r>
          </w:p>
        </w:tc>
        <w:tc>
          <w:tcPr>
            <w:tcW w:type="dxa" w:w="358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your tools</w:t>
            </w:r>
          </w:p>
        </w:tc>
        <w:tc>
          <w:tcPr>
            <w:tcW w:type="dxa" w:w="358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your tools</w:t>
            </w:r>
          </w:p>
        </w:tc>
      </w:tr>
      <w:tr>
        <w:tc>
          <w:tcPr>
            <w:tcW w:type="dxa" w:w="22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b/>
                <w:color w:val="0B0E11"/>
                <w:sz w:val="20"/>
              </w:rPr>
              <w:t>Confidential</w:t>
            </w:r>
          </w:p>
        </w:tc>
        <w:tc>
          <w:tcPr>
            <w:tcW w:type="dxa" w:w="358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your tools</w:t>
            </w:r>
          </w:p>
        </w:tc>
        <w:tc>
          <w:tcPr>
            <w:tcW w:type="dxa" w:w="358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your tools</w:t>
            </w:r>
          </w:p>
        </w:tc>
      </w:tr>
      <w:tr>
        <w:tc>
          <w:tcPr>
            <w:tcW w:type="dxa" w:w="22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b/>
                <w:color w:val="0B0E11"/>
                <w:sz w:val="20"/>
              </w:rPr>
              <w:t>Restricted (if used)</w:t>
            </w:r>
          </w:p>
        </w:tc>
        <w:tc>
          <w:tcPr>
            <w:tcW w:type="dxa" w:w="358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your tools</w:t>
            </w:r>
          </w:p>
        </w:tc>
        <w:tc>
          <w:tcPr>
            <w:tcW w:type="dxa" w:w="358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80" w:type="dxa"/>
              <w:left w:w="110" w:type="dxa"/>
              <w:bottom w:w="8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your tools</w:t>
            </w:r>
          </w:p>
        </w:tc>
      </w:tr>
    </w:tbl>
    <w:p>
      <w:pPr>
        <w:pStyle w:val="Kicker"/>
      </w:pPr>
      <w:r>
        <w:rPr>
          <w:rFonts w:ascii="IBM Plex Mono" w:hAnsi="IBM Plex Mono" w:cs="IBM Plex Mono"/>
          <w:color w:val="0E8E66"/>
          <w:sz w:val="17"/>
        </w:rPr>
        <w:t xml:space="preserve">// </w:t>
      </w:r>
      <w:r>
        <w:rPr>
          <w:rFonts w:ascii="IBM Plex Mono" w:hAnsi="IBM Plex Mono" w:cs="IBM Plex Mono"/>
          <w:caps/>
          <w:color w:val="0E8E66"/>
          <w:sz w:val="17"/>
        </w:rPr>
        <w:t>where this sits in the kit</w:t>
      </w:r>
    </w:p>
    <w:p>
      <w:r>
        <w:t xml:space="preserve">This is the operational half of the kit. The </w:t>
      </w:r>
      <w:r>
        <w:rPr>
          <w:b/>
        </w:rPr>
        <w:t>Data Classification Policy</w:t>
      </w:r>
      <w:r>
        <w:t xml:space="preserve"> defines the tiers this matrix uses. The </w:t>
      </w:r>
      <w:r>
        <w:rPr>
          <w:b/>
        </w:rPr>
        <w:t>Data Governance Operating Model</w:t>
      </w:r>
      <w:r>
        <w:t xml:space="preserve"> says who applies these rules and who approves exceptions. The Maturity Assessment shows where to start.</w:t>
      </w:r>
    </w:p>
    <w:p>
      <w:pPr>
        <w:pStyle w:val="Kicker"/>
      </w:pPr>
      <w:r>
        <w:rPr>
          <w:rFonts w:ascii="IBM Plex Mono" w:hAnsi="IBM Plex Mono" w:cs="IBM Plex Mono"/>
          <w:color w:val="0E8E66"/>
          <w:sz w:val="17"/>
        </w:rPr>
        <w:t xml:space="preserve">// </w:t>
      </w:r>
      <w:r>
        <w:rPr>
          <w:rFonts w:ascii="IBM Plex Mono" w:hAnsi="IBM Plex Mono" w:cs="IBM Plex Mono"/>
          <w:caps/>
          <w:color w:val="0E8E66"/>
          <w:sz w:val="17"/>
        </w:rPr>
        <w:t>approval</w:t>
      </w:r>
    </w:p>
    <w:p>
      <w:pPr>
        <w:pStyle w:val="Heading1"/>
      </w:pPr>
      <w:r>
        <w:t>Sign-off</w:t>
      </w:r>
    </w:p>
    <w:tbl>
      <w:tblPr>
        <w:tblW w:w="9360" w:type="dxa"/>
        <w:tblLook w:firstColumn="1" w:firstRow="1" w:lastColumn="0" w:lastRow="0" w:noHBand="0" w:noVBand="1" w:val="04A0"/>
      </w:tblPr>
      <w:tblGrid>
        <w:gridCol w:w="2700"/>
        <w:gridCol w:w="6660"/>
      </w:tblGrid>
      <w:tr>
        <w:trPr>
          <w:tblHeader w:val="true"/>
        </w:trPr>
        <w:tc>
          <w:tcPr>
            <w:tcW w:type="dxa" w:w="27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HeadCellTxt"/>
            </w:pPr>
            <w:r>
              <w:rPr>
                <w:rFonts w:ascii="IBM Plex Mono" w:hAnsi="IBM Plex Mono" w:cs="IBM Plex Mono"/>
                <w:caps/>
                <w:color w:val="6B7680"/>
                <w:sz w:val="16"/>
              </w:rPr>
              <w:t>Field</w:t>
            </w:r>
          </w:p>
        </w:tc>
        <w:tc>
          <w:tcPr>
            <w:tcW w:type="dxa" w:w="66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shd w:val="clear" w:color="auto" w:fill="F2F2EC"/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HeadCellTxt"/>
            </w:pPr>
            <w:r>
              <w:rPr>
                <w:rFonts w:ascii="IBM Plex Mono" w:hAnsi="IBM Plex Mono" w:cs="IBM Plex Mono"/>
                <w:caps/>
                <w:color w:val="6B7680"/>
                <w:sz w:val="16"/>
              </w:rPr>
              <w:t>Entry</w:t>
            </w:r>
          </w:p>
        </w:tc>
      </w:tr>
      <w:tr>
        <w:tc>
          <w:tcPr>
            <w:tcW w:type="dxa" w:w="27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Approved by, name</w:t>
            </w:r>
          </w:p>
        </w:tc>
        <w:tc>
          <w:tcPr>
            <w:tcW w:type="dxa" w:w="66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name</w:t>
            </w:r>
          </w:p>
        </w:tc>
      </w:tr>
      <w:tr>
        <w:tc>
          <w:tcPr>
            <w:tcW w:type="dxa" w:w="27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Title</w:t>
            </w:r>
          </w:p>
        </w:tc>
        <w:tc>
          <w:tcPr>
            <w:tcW w:type="dxa" w:w="66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title</w:t>
            </w:r>
          </w:p>
        </w:tc>
      </w:tr>
      <w:tr>
        <w:tc>
          <w:tcPr>
            <w:tcW w:type="dxa" w:w="27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Signature</w:t>
            </w:r>
          </w:p>
        </w:tc>
        <w:tc>
          <w:tcPr>
            <w:tcW w:type="dxa" w:w="66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Sign here</w:t>
            </w:r>
          </w:p>
        </w:tc>
      </w:tr>
      <w:tr>
        <w:tc>
          <w:tcPr>
            <w:tcW w:type="dxa" w:w="270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CellTxt"/>
            </w:pPr>
            <w:r>
              <w:rPr>
                <w:rFonts w:ascii="IBM Plex Sans" w:hAnsi="IBM Plex Sans" w:cs="IBM Plex Sans"/>
                <w:color w:val="0B0E11"/>
                <w:sz w:val="20"/>
              </w:rPr>
              <w:t>Date</w:t>
            </w:r>
          </w:p>
        </w:tc>
        <w:tc>
          <w:tcPr>
            <w:tcW w:type="dxa" w:w="6660"/>
            <w:tcBorders>
              <w:top w:val="single" w:sz="4" w:space="0" w:color="E3E3DC"/>
              <w:left w:val="single" w:sz="4" w:space="0" w:color="E3E3DC"/>
              <w:bottom w:val="single" w:sz="4" w:space="0" w:color="E3E3DC"/>
              <w:right w:val="single" w:sz="4" w:space="0" w:color="E3E3DC"/>
            </w:tcBorders>
            <w:tcMar>
              <w:top w:w="70" w:type="dxa"/>
              <w:left w:w="110" w:type="dxa"/>
              <w:bottom w:w="70" w:type="dxa"/>
              <w:right w:w="110" w:type="dxa"/>
            </w:tcMar>
          </w:tcPr>
          <w:p>
            <w:pPr>
              <w:pStyle w:val="Placeholder"/>
            </w:pPr>
            <w:r>
              <w:rPr>
                <w:rFonts w:ascii="IBM Plex Sans" w:hAnsi="IBM Plex Sans" w:cs="IBM Plex Sans"/>
                <w:i/>
                <w:color w:val="6B7680"/>
                <w:sz w:val="20"/>
              </w:rPr>
              <w:t>Enter date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320" w:right="1440" w:bottom="12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ora">
    <w:charset w:val="00"/>
    <w:family w:val="swiss"/>
    <w:pitch w:val="variable"/>
    <w:embedRegular r:id="rId1" w:fontKey="{876B3A21-30C8-4660-86C9-06E9D7AFD0AB}"/>
    <w:embedBold r:id="rId2" w:fontKey="{40638EB6-302B-446E-B7B2-956F745E9083}"/>
  </w:font>
  <w:font w:name="IBM Plex Sans">
    <w:charset w:val="00"/>
    <w:family w:val="swiss"/>
    <w:pitch w:val="variable"/>
    <w:embedRegular r:id="rId3" w:fontKey="{BE774C6C-4E4B-4F35-874B-BCA6E5ECDA6F}"/>
    <w:embedBold r:id="rId4" w:fontKey="{E68BB0F2-2694-4669-8A89-45F4D60D6D61}"/>
  </w:font>
  <w:font w:name="IBM Plex Mono">
    <w:charset w:val="00"/>
    <w:family w:val="modern"/>
    <w:pitch w:val="fixed"/>
    <w:embedRegular r:id="rId5" w:fontKey="{FD40263C-8AD4-4E55-B906-1F85747E3D7A}"/>
    <w:embedBold r:id="rId6" w:fontKey="{E474698F-F1D9-46E3-BC7C-7C1ADD16DA34}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RunHead"/>
      <w:tabs>
        <w:tab w:pos="9360" w:val="right"/>
      </w:tabs>
    </w:pPr>
    <w:r>
      <w:rPr>
        <w:rFonts w:ascii="IBM Plex Mono" w:hAnsi="IBM Plex Mono" w:cs="IBM Plex Mono"/>
        <w:caps/>
        <w:color w:val="6B7680"/>
        <w:sz w:val="16"/>
      </w:rPr>
      <w:t>TIM D. TIPTON JR.  ·  THE CYBER ALCHEMIST</w:t>
    </w:r>
    <w:r>
      <w:rPr>
        <w:rFonts w:ascii="IBM Plex Mono" w:hAnsi="IBM Plex Mono" w:cs="IBM Plex Mono"/>
      </w:rPr>
      <w:tab/>
    </w:r>
    <w:r>
      <w:rPr>
        <w:rFonts w:ascii="IBM Plex Mono" w:hAnsi="IBM Plex Mono" w:cs="IBM Plex Mono"/>
        <w:caps/>
        <w:color w:val="6B7680"/>
        <w:sz w:val="16"/>
      </w:rPr>
      <w:t>BASE METAL  ·  HANDLING MATRIX v1.0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RunHead"/>
      <w:pBdr>
        <w:bottom w:val="single" w:sz="4" w:space="3" w:color="E3E3DC"/>
      </w:pBdr>
      <w:tabs>
        <w:tab w:pos="9360" w:val="right"/>
      </w:tabs>
    </w:pPr>
    <w:r>
      <w:drawing>
        <wp:anchor distT="0" distB="0" distL="0" distR="0" simplePos="0" relativeHeight="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2" name="BenchPaper" descr="Warm off-white interior background"/>
          <wp:cNvGraphicFramePr>
            <a:graphicFrameLocks xmlns:a="http://schemas.openxmlformats.org/drawingml/2006/main" noChangeAspect="0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" name="BenchPaper" descr="Warm off-white interior 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BM Plex Mono" w:hAnsi="IBM Plex Mono" w:cs="IBM Plex Mono"/>
        <w:caps/>
        <w:color w:val="6B7680"/>
        <w:sz w:val="16"/>
      </w:rPr>
      <w:t>The Cyber Alchemist  ·  Base Metal</w:t>
    </w:r>
    <w:r>
      <w:rPr>
        <w:rFonts w:ascii="IBM Plex Mono" w:hAnsi="IBM Plex Mono" w:cs="IBM Plex Mono"/>
      </w:rPr>
      <w:tab/>
    </w:r>
    <w:r>
      <w:rPr>
        <w:rFonts w:ascii="IBM Plex Mono" w:hAnsi="IBM Plex Mono" w:cs="IBM Plex Mono"/>
        <w:caps/>
        <w:color w:val="6B7680"/>
        <w:sz w:val="16"/>
      </w:rPr>
      <w:t>Data Handling Matrix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embedTrueTypeFonts/>
  <w:embedSystemFont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48" w:lineRule="auto" w:after="160"/>
    </w:pPr>
    <w:rPr>
      <w:rFonts w:ascii="IBM Plex Sans" w:hAnsi="IBM Plex Sans" w:cs="IBM Plex Sans"/>
      <w:color w:val="0B0E11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00" w:line="252" w:lineRule="auto"/>
      <w:outlineLvl w:val="0"/>
    </w:pPr>
    <w:rPr>
      <w:rFonts w:asciiTheme="majorHAnsi" w:eastAsiaTheme="majorEastAsia" w:hAnsiTheme="majorHAnsi" w:cstheme="majorBidi" w:ascii="Sora" w:hAnsi="Sora" w:cs="Sora"/>
      <w:b w:val="0"/>
      <w:bCs/>
      <w:color w:val="0B0E1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60" w:line="252" w:lineRule="auto"/>
      <w:outlineLvl w:val="1"/>
    </w:pPr>
    <w:rPr>
      <w:rFonts w:asciiTheme="majorHAnsi" w:eastAsiaTheme="majorEastAsia" w:hAnsiTheme="majorHAnsi" w:cstheme="majorBidi" w:ascii="Sora" w:hAnsi="Sora" w:cs="Sora"/>
      <w:b w:val="0"/>
      <w:bCs/>
      <w:color w:val="0B0E1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60"/>
      <w:contextualSpacing/>
    </w:pPr>
    <w:rPr>
      <w:rFonts w:ascii="IBM Plex Sans" w:hAnsi="IBM Plex Sans" w:cs="IBM Plex Sans"/>
      <w:color w:val="3A444C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verKicker">
    <w:name w:val="CoverKicker"/>
    <w:basedOn w:val="Normal"/>
    <w:pPr>
      <w:spacing w:before="0" w:after="120" w:line="312" w:lineRule="auto"/>
    </w:pPr>
    <w:rPr>
      <w:rFonts w:ascii="IBM Plex Mono" w:hAnsi="IBM Plex Mono" w:cs="IBM Plex Mono"/>
      <w:b w:val="0"/>
      <w:caps/>
      <w:color w:val="21E0A0"/>
      <w:spacing w:val="40"/>
      <w:sz w:val="18"/>
    </w:rPr>
  </w:style>
  <w:style w:type="paragraph" w:customStyle="1" w:styleId="CoverTitle">
    <w:name w:val="CoverTitle"/>
    <w:basedOn w:val="Normal"/>
    <w:pPr>
      <w:spacing w:before="0" w:after="200" w:line="245" w:lineRule="auto"/>
    </w:pPr>
    <w:rPr>
      <w:rFonts w:ascii="Sora" w:hAnsi="Sora" w:cs="Sora"/>
      <w:b/>
      <w:color w:val="EAF0F2"/>
      <w:sz w:val="74"/>
    </w:rPr>
  </w:style>
  <w:style w:type="paragraph" w:customStyle="1" w:styleId="CoverDeck">
    <w:name w:val="CoverDeck"/>
    <w:basedOn w:val="Normal"/>
    <w:pPr>
      <w:spacing w:before="0" w:after="160" w:line="360" w:lineRule="auto"/>
    </w:pPr>
    <w:rPr>
      <w:rFonts w:ascii="IBM Plex Sans" w:hAnsi="IBM Plex Sans" w:cs="IBM Plex Sans"/>
      <w:b w:val="0"/>
      <w:color w:val="8FA0AB"/>
      <w:sz w:val="24"/>
    </w:rPr>
  </w:style>
  <w:style w:type="paragraph" w:customStyle="1" w:styleId="CoverAttrib">
    <w:name w:val="CoverAttrib"/>
    <w:basedOn w:val="Normal"/>
    <w:pPr>
      <w:spacing w:before="200" w:after="120" w:line="312" w:lineRule="auto"/>
    </w:pPr>
    <w:rPr>
      <w:rFonts w:ascii="IBM Plex Mono" w:hAnsi="IBM Plex Mono" w:cs="IBM Plex Mono"/>
      <w:b w:val="0"/>
      <w:color w:val="5A6B75"/>
      <w:spacing w:val="20"/>
      <w:sz w:val="19"/>
    </w:rPr>
  </w:style>
  <w:style w:type="paragraph" w:customStyle="1" w:styleId="WordMark">
    <w:name w:val="WordMark"/>
    <w:basedOn w:val="Normal"/>
    <w:pPr>
      <w:spacing w:before="0" w:after="0" w:line="264" w:lineRule="auto"/>
    </w:pPr>
    <w:rPr>
      <w:rFonts w:ascii="IBM Plex Mono" w:hAnsi="IBM Plex Mono" w:cs="IBM Plex Mono"/>
      <w:b w:val="0"/>
      <w:caps/>
      <w:color w:val="EAF0F2"/>
      <w:spacing w:val="26"/>
      <w:sz w:val="22"/>
    </w:rPr>
  </w:style>
  <w:style w:type="paragraph" w:customStyle="1" w:styleId="SigilTxt">
    <w:name w:val="SigilTxt"/>
    <w:basedOn w:val="Normal"/>
    <w:pPr>
      <w:spacing w:before="0" w:after="0" w:line="240" w:lineRule="auto"/>
      <w:jc w:val="center"/>
    </w:pPr>
    <w:rPr>
      <w:rFonts w:ascii="IBM Plex Mono" w:hAnsi="IBM Plex Mono" w:cs="IBM Plex Mono"/>
      <w:b/>
      <w:color w:val="FBE08F"/>
      <w:sz w:val="26"/>
    </w:rPr>
  </w:style>
  <w:style w:type="paragraph" w:customStyle="1" w:styleId="TileIdx">
    <w:name w:val="TileIdx"/>
    <w:basedOn w:val="Normal"/>
    <w:pPr>
      <w:spacing w:before="0" w:after="0" w:line="240" w:lineRule="auto"/>
    </w:pPr>
    <w:rPr>
      <w:rFonts w:ascii="IBM Plex Mono" w:hAnsi="IBM Plex Mono" w:cs="IBM Plex Mono"/>
      <w:b w:val="0"/>
      <w:color w:val="5A6B75"/>
      <w:spacing w:val="16"/>
      <w:sz w:val="15"/>
    </w:rPr>
  </w:style>
  <w:style w:type="paragraph" w:customStyle="1" w:styleId="TileSym">
    <w:name w:val="TileSym"/>
    <w:basedOn w:val="Normal"/>
    <w:pPr>
      <w:spacing w:before="0" w:after="0" w:line="240" w:lineRule="auto"/>
    </w:pPr>
    <w:rPr>
      <w:rFonts w:ascii="Sora" w:hAnsi="Sora" w:cs="Sora"/>
      <w:b/>
      <w:color w:val="EAF0F2"/>
      <w:sz w:val="44"/>
    </w:rPr>
  </w:style>
  <w:style w:type="paragraph" w:customStyle="1" w:styleId="TileName">
    <w:name w:val="TileName"/>
    <w:basedOn w:val="Normal"/>
    <w:pPr>
      <w:spacing w:before="80" w:after="0" w:line="240" w:lineRule="auto"/>
    </w:pPr>
    <w:rPr>
      <w:rFonts w:ascii="IBM Plex Mono" w:hAnsi="IBM Plex Mono" w:cs="IBM Plex Mono"/>
      <w:b w:val="0"/>
      <w:caps/>
      <w:color w:val="8FA0AB"/>
      <w:spacing w:val="24"/>
      <w:sz w:val="15"/>
    </w:rPr>
  </w:style>
  <w:style w:type="paragraph" w:customStyle="1" w:styleId="TileIdxG">
    <w:name w:val="TileIdxG"/>
    <w:basedOn w:val="Normal"/>
    <w:pPr>
      <w:spacing w:before="0" w:after="0" w:line="240" w:lineRule="auto"/>
    </w:pPr>
    <w:rPr>
      <w:rFonts w:ascii="IBM Plex Mono" w:hAnsi="IBM Plex Mono" w:cs="IBM Plex Mono"/>
      <w:b w:val="0"/>
      <w:color w:val="E9BD55"/>
      <w:spacing w:val="16"/>
      <w:sz w:val="15"/>
    </w:rPr>
  </w:style>
  <w:style w:type="paragraph" w:customStyle="1" w:styleId="TileSymG">
    <w:name w:val="TileSymG"/>
    <w:basedOn w:val="Normal"/>
    <w:pPr>
      <w:spacing w:before="0" w:after="0" w:line="240" w:lineRule="auto"/>
    </w:pPr>
    <w:rPr>
      <w:rFonts w:ascii="Sora" w:hAnsi="Sora" w:cs="Sora"/>
      <w:b/>
      <w:color w:val="FBE08F"/>
      <w:sz w:val="44"/>
    </w:rPr>
  </w:style>
  <w:style w:type="paragraph" w:customStyle="1" w:styleId="TileNameG">
    <w:name w:val="TileNameG"/>
    <w:basedOn w:val="Normal"/>
    <w:pPr>
      <w:spacing w:before="80" w:after="0" w:line="240" w:lineRule="auto"/>
    </w:pPr>
    <w:rPr>
      <w:rFonts w:ascii="IBM Plex Mono" w:hAnsi="IBM Plex Mono" w:cs="IBM Plex Mono"/>
      <w:b w:val="0"/>
      <w:caps/>
      <w:color w:val="E9BD55"/>
      <w:spacing w:val="24"/>
      <w:sz w:val="15"/>
    </w:rPr>
  </w:style>
  <w:style w:type="paragraph" w:customStyle="1" w:styleId="ArrowTxt">
    <w:name w:val="ArrowTxt"/>
    <w:basedOn w:val="Normal"/>
    <w:pPr>
      <w:spacing w:before="0" w:after="0" w:line="240" w:lineRule="auto"/>
      <w:jc w:val="center"/>
    </w:pPr>
    <w:rPr>
      <w:rFonts w:ascii="IBM Plex Mono" w:hAnsi="IBM Plex Mono" w:cs="IBM Plex Mono"/>
      <w:b/>
      <w:color w:val="21E0A0"/>
      <w:sz w:val="44"/>
    </w:rPr>
  </w:style>
  <w:style w:type="paragraph" w:customStyle="1" w:styleId="DeviceCap">
    <w:name w:val="DeviceCap"/>
    <w:basedOn w:val="Normal"/>
    <w:pPr>
      <w:spacing w:before="160" w:after="80" w:line="336" w:lineRule="auto"/>
    </w:pPr>
    <w:rPr>
      <w:rFonts w:ascii="IBM Plex Mono" w:hAnsi="IBM Plex Mono" w:cs="IBM Plex Mono"/>
      <w:b w:val="0"/>
      <w:caps/>
      <w:color w:val="5A6B75"/>
      <w:spacing w:val="24"/>
      <w:sz w:val="16"/>
    </w:rPr>
  </w:style>
  <w:style w:type="paragraph" w:customStyle="1" w:styleId="Kicker">
    <w:name w:val="Kicker"/>
    <w:basedOn w:val="Normal"/>
    <w:pPr>
      <w:spacing w:before="280" w:after="60" w:line="312" w:lineRule="auto"/>
    </w:pPr>
    <w:rPr>
      <w:rFonts w:ascii="IBM Plex Mono" w:hAnsi="IBM Plex Mono" w:cs="IBM Plex Mono"/>
      <w:b w:val="0"/>
      <w:caps/>
      <w:color w:val="0E8E66"/>
      <w:spacing w:val="34"/>
      <w:sz w:val="17"/>
    </w:rPr>
  </w:style>
  <w:style w:type="paragraph" w:customStyle="1" w:styleId="Deck">
    <w:name w:val="Deck"/>
    <w:basedOn w:val="Normal"/>
    <w:pPr>
      <w:spacing w:before="0" w:after="120" w:line="360" w:lineRule="auto"/>
    </w:pPr>
    <w:rPr>
      <w:rFonts w:ascii="IBM Plex Sans" w:hAnsi="IBM Plex Sans" w:cs="IBM Plex Sans"/>
      <w:b w:val="0"/>
      <w:color w:val="3A444C"/>
      <w:sz w:val="25"/>
    </w:rPr>
  </w:style>
  <w:style w:type="paragraph" w:customStyle="1" w:styleId="HeadCellTxt">
    <w:name w:val="HeadCellTxt"/>
    <w:basedOn w:val="Normal"/>
    <w:pPr>
      <w:spacing w:before="0" w:after="0" w:line="264" w:lineRule="auto"/>
    </w:pPr>
    <w:rPr>
      <w:rFonts w:ascii="IBM Plex Mono" w:hAnsi="IBM Plex Mono" w:cs="IBM Plex Mono"/>
      <w:b w:val="0"/>
      <w:caps/>
      <w:color w:val="6B7680"/>
      <w:spacing w:val="18"/>
      <w:sz w:val="16"/>
    </w:rPr>
  </w:style>
  <w:style w:type="paragraph" w:customStyle="1" w:styleId="CellTxt">
    <w:name w:val="CellTxt"/>
    <w:basedOn w:val="Normal"/>
    <w:pPr>
      <w:spacing w:before="0" w:after="0" w:line="312" w:lineRule="auto"/>
    </w:pPr>
    <w:rPr>
      <w:rFonts w:ascii="IBM Plex Sans" w:hAnsi="IBM Plex Sans" w:cs="IBM Plex Sans"/>
      <w:b w:val="0"/>
      <w:color w:val="0B0E11"/>
      <w:sz w:val="20"/>
    </w:rPr>
  </w:style>
  <w:style w:type="paragraph" w:customStyle="1" w:styleId="Placeholder">
    <w:name w:val="Placeholder"/>
    <w:basedOn w:val="Normal"/>
    <w:pPr>
      <w:spacing w:before="0" w:after="0" w:line="312" w:lineRule="auto"/>
    </w:pPr>
    <w:rPr>
      <w:rFonts w:ascii="IBM Plex Sans" w:hAnsi="IBM Plex Sans" w:cs="IBM Plex Sans"/>
      <w:b w:val="0"/>
      <w:color w:val="6B7680"/>
      <w:sz w:val="20"/>
    </w:rPr>
  </w:style>
  <w:style w:type="paragraph" w:customStyle="1" w:styleId="RunHead">
    <w:name w:val="RunHead"/>
    <w:basedOn w:val="Normal"/>
    <w:pPr>
      <w:spacing w:before="0" w:after="0" w:line="312" w:lineRule="auto"/>
    </w:pPr>
    <w:rPr>
      <w:rFonts w:ascii="IBM Plex Mono" w:hAnsi="IBM Plex Mono" w:cs="IBM Plex Mono"/>
      <w:b w:val="0"/>
      <w:caps/>
      <w:color w:val="6B7680"/>
      <w:spacing w:val="16"/>
      <w:sz w:val="16"/>
    </w:rPr>
  </w:style>
  <w:style w:type="paragraph" w:customStyle="1" w:styleId="MxHead">
    <w:name w:val="MxHead"/>
    <w:basedOn w:val="Normal"/>
    <w:pPr>
      <w:spacing w:before="0" w:after="0" w:line="252" w:lineRule="auto"/>
    </w:pPr>
    <w:rPr>
      <w:rFonts w:ascii="IBM Plex Mono" w:hAnsi="IBM Plex Mono" w:cs="IBM Plex Mono"/>
      <w:b w:val="0"/>
      <w:caps/>
      <w:color w:val="6B7680"/>
      <w:spacing w:val="8"/>
      <w:sz w:val="15"/>
    </w:rPr>
  </w:style>
  <w:style w:type="paragraph" w:customStyle="1" w:styleId="MxTier">
    <w:name w:val="MxTier"/>
    <w:basedOn w:val="Normal"/>
    <w:pPr>
      <w:spacing w:before="0" w:after="0" w:line="252" w:lineRule="auto"/>
    </w:pPr>
    <w:rPr>
      <w:rFonts w:ascii="Sora" w:hAnsi="Sora" w:cs="Sora"/>
      <w:b w:val="0"/>
      <w:color w:val="0B0E11"/>
      <w:sz w:val="21"/>
    </w:rPr>
  </w:style>
  <w:style w:type="paragraph" w:customStyle="1" w:styleId="MxTierTag">
    <w:name w:val="MxTierTag"/>
    <w:basedOn w:val="Normal"/>
    <w:pPr>
      <w:spacing w:before="60" w:after="0" w:line="252" w:lineRule="auto"/>
    </w:pPr>
    <w:rPr>
      <w:rFonts w:ascii="IBM Plex Mono" w:hAnsi="IBM Plex Mono" w:cs="IBM Plex Mono"/>
      <w:b w:val="0"/>
      <w:caps/>
      <w:color w:val="6B7680"/>
      <w:spacing w:val="10"/>
      <w:sz w:val="13"/>
    </w:rPr>
  </w:style>
  <w:style w:type="paragraph" w:customStyle="1" w:styleId="MxTierExt">
    <w:name w:val="MxTierExt"/>
    <w:basedOn w:val="Normal"/>
    <w:pPr>
      <w:spacing w:before="40" w:after="0" w:line="252" w:lineRule="auto"/>
    </w:pPr>
    <w:rPr>
      <w:rFonts w:ascii="IBM Plex Mono" w:hAnsi="IBM Plex Mono" w:cs="IBM Plex Mono"/>
      <w:b w:val="0"/>
      <w:caps/>
      <w:color w:val="0E8E66"/>
      <w:spacing w:val="10"/>
      <w:sz w:val="13"/>
    </w:rPr>
  </w:style>
  <w:style w:type="paragraph" w:customStyle="1" w:styleId="MxCell">
    <w:name w:val="MxCell"/>
    <w:basedOn w:val="Normal"/>
    <w:pPr>
      <w:spacing w:before="0" w:after="0" w:line="283" w:lineRule="auto"/>
    </w:pPr>
    <w:rPr>
      <w:rFonts w:ascii="IBM Plex Sans" w:hAnsi="IBM Plex Sans" w:cs="IBM Plex Sans"/>
      <w:b w:val="0"/>
      <w:color w:val="3A444C"/>
      <w:sz w:val="16"/>
    </w:rPr>
  </w:style>
  <w:style w:type="paragraph" w:customStyle="1" w:styleId="MxLabelCell">
    <w:name w:val="MxLabelCell"/>
    <w:basedOn w:val="Normal"/>
    <w:pPr>
      <w:spacing w:before="0" w:after="0" w:line="283" w:lineRule="auto"/>
    </w:pPr>
    <w:rPr>
      <w:rFonts w:ascii="IBM Plex Sans" w:hAnsi="IBM Plex Sans" w:cs="IBM Plex Sans"/>
      <w:b w:val="0"/>
      <w:color w:val="0B0E11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cover_dark.png"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Sora-regular.odttf"/><Relationship Id="rId2" Type="http://schemas.openxmlformats.org/officeDocument/2006/relationships/font" Target="fonts/Sora-bold.odttf"/><Relationship Id="rId3" Type="http://schemas.openxmlformats.org/officeDocument/2006/relationships/font" Target="fonts/IBMPlexSans-regular.odttf"/><Relationship Id="rId4" Type="http://schemas.openxmlformats.org/officeDocument/2006/relationships/font" Target="fonts/IBMPlexSans-bold.odttf"/><Relationship Id="rId5" Type="http://schemas.openxmlformats.org/officeDocument/2006/relationships/font" Target="fonts/IBMPlexMono-regular.odttf"/><Relationship Id="rId6" Type="http://schemas.openxmlformats.org/officeDocument/2006/relationships/font" Target="fonts/IBMPlexMono-bold.od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bench_paper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Metal - Data Handling Matrix</dc:title>
  <dc:subject>Base Metal, data classification and governance starter kit</dc:subject>
  <dc:creator>Tim D. Tipton Jr.</dc:creator>
  <cp:keywords>Base Metal, data classification, data governance, small business, templates</cp:keywords>
  <dc:description>
</dc:description>
  <cp:lastModifiedBy>Tim D. Tipton Jr.</cp:lastModifiedBy>
  <cp:revision>1</cp:revision>
  <dcterms:created xsi:type="dcterms:W3CDTF">2026-07-24T00:00:00Z</dcterms:created>
  <dcterms:modified xsi:type="dcterms:W3CDTF">2026-07-24T00:00:00Z</dcterms:modified>
  <cp:category>Cybersecurity Framework</cp:category>
  <dc:language>en-US</dc:language>
</cp:coreProperties>
</file>