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IBMPlexMono-bold.odttf" ContentType="application/vnd.openxmlformats-officedocument.obfuscatedFont"/>
  <Override PartName="/word/fonts/IBMPlexMono-regular.odttf" ContentType="application/vnd.openxmlformats-officedocument.obfuscatedFont"/>
  <Override PartName="/word/fonts/IBMPlexSans-bold.odttf" ContentType="application/vnd.openxmlformats-officedocument.obfuscatedFont"/>
  <Override PartName="/word/fonts/IBMPlexSans-regular.odttf" ContentType="application/vnd.openxmlformats-officedocument.obfuscatedFont"/>
  <Override PartName="/word/fonts/Sora-bold.odttf" ContentType="application/vnd.openxmlformats-officedocument.obfuscatedFont"/>
  <Override PartName="/word/fonts/Sora-regular.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1" name="CoverBackground" descr="Dark cover background panel"/>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1" name="CoverBackground" descr="Dark cover background panel"/>
                    <pic:cNvPicPr/>
                  </pic:nvPicPr>
                  <pic:blipFill>
                    <a:blip r:embed="rId11"/>
                    <a:stretch>
                      <a:fillRect/>
                    </a:stretch>
                  </pic:blipFill>
                  <pic:spPr>
                    <a:xfrm>
                      <a:off x="0" y="0"/>
                      <a:ext cx="7772400" cy="10058400"/>
                    </a:xfrm>
                    <a:prstGeom prst="rect">
                      <a:avLst/>
                    </a:prstGeom>
                  </pic:spPr>
                </pic:pic>
              </a:graphicData>
            </a:graphic>
          </wp:anchor>
        </w:drawing>
      </w:r>
    </w:p>
    <w:tbl>
      <w:tblPr>
        <w:tblW w:w="10080" w:type="dxa"/>
        <w:tblBorders>
          <w:top w:val="none"/>
          <w:left w:val="none"/>
          <w:bottom w:val="none"/>
          <w:right w:val="none"/>
          <w:insideH w:val="none"/>
          <w:insideV w:val="none"/>
        </w:tblBorders>
        <w:tblLook w:firstColumn="1" w:firstRow="1" w:lastColumn="0" w:lastRow="0" w:noHBand="0" w:noVBand="1" w:val="04A0"/>
      </w:tblPr>
      <w:tblGrid>
        <w:gridCol w:w="620"/>
        <w:gridCol w:w="9460"/>
      </w:tblGrid>
      <w:tr>
        <w:tc>
          <w:tcPr>
            <w:tcW w:type="dxa" w:w="620"/>
            <w:tcBorders>
              <w:top w:val="single" w:sz="8" w:space="0" w:color="E9BD55"/>
              <w:left w:val="single" w:sz="8" w:space="0" w:color="E9BD55"/>
              <w:bottom w:val="single" w:sz="8" w:space="0" w:color="E9BD55"/>
              <w:right w:val="single" w:sz="8" w:space="0" w:color="E9BD55"/>
            </w:tcBorders>
            <w:shd w:val="clear" w:color="auto" w:fill="141C22"/>
            <w:tcMar>
              <w:top w:w="6" w:type="dxa"/>
              <w:left w:w="6" w:type="dxa"/>
              <w:bottom w:w="6" w:type="dxa"/>
              <w:right w:w="6" w:type="dxa"/>
            </w:tcMar>
            <w:vAlign w:val="center"/>
          </w:tcPr>
          <w:p>
            <w:pPr>
              <w:pStyle w:val="SigilTxt"/>
              <w:jc w:val="center"/>
            </w:pPr>
            <w:r>
              <w:rPr>
                <w:rFonts w:ascii="IBM Plex Mono" w:hAnsi="IBM Plex Mono" w:cs="IBM Plex Mono"/>
                <w:color w:val="5A6B75"/>
                <w:sz w:val="12"/>
              </w:rPr>
              <w:t>79</w:t>
            </w:r>
            <w:r>
              <w:rPr>
                <w:rFonts w:ascii="IBM Plex Mono" w:hAnsi="IBM Plex Mono" w:cs="IBM Plex Mono"/>
                <w:b/>
                <w:color w:val="FBE08F"/>
                <w:sz w:val="26"/>
              </w:rPr>
              <w:t xml:space="preserve"> Au</w:t>
            </w:r>
          </w:p>
        </w:tc>
        <w:tc>
          <w:tcPr>
            <w:tcW w:type="dxa" w:w="9460"/>
            <w:vAlign w:val="center"/>
          </w:tcPr>
          <w:p>
            <w:pPr>
              <w:pStyle w:val="WordMark"/>
            </w:pPr>
            <w:r>
              <w:rPr>
                <w:rFonts w:ascii="IBM Plex Mono" w:hAnsi="IBM Plex Mono" w:cs="IBM Plex Mono"/>
                <w:caps/>
                <w:color w:val="EAF0F2"/>
                <w:sz w:val="22"/>
              </w:rPr>
              <w:t>Cyber Alchemist</w:t>
            </w:r>
          </w:p>
        </w:tc>
      </w:tr>
    </w:tbl>
    <w:p>
      <w:pPr>
        <w:pStyle w:val="CoverKicker"/>
      </w:pPr>
      <w:r/>
      <w:r>
        <w:rPr>
          <w:rFonts w:ascii="IBM Plex Mono" w:hAnsi="IBM Plex Mono" w:cs="IBM Plex Mono"/>
          <w:color w:val="10A878"/>
          <w:sz w:val="18"/>
        </w:rPr>
        <w:t xml:space="preserve">// </w:t>
      </w:r>
      <w:r>
        <w:rPr>
          <w:rFonts w:ascii="IBM Plex Mono" w:hAnsi="IBM Plex Mono" w:cs="IBM Plex Mono"/>
          <w:caps/>
          <w:color w:val="21E0A0"/>
          <w:sz w:val="18"/>
        </w:rPr>
        <w:t>a control domain</w:t>
      </w:r>
    </w:p>
    <w:p>
      <w:pPr>
        <w:pStyle w:val="CoverTitle"/>
      </w:pPr>
      <w:r>
        <w:t>Cyber-Physical &amp; Distributed Systems Security</w:t>
      </w:r>
    </w:p>
    <w:p>
      <w:pPr>
        <w:pStyle w:val="CoverDeck"/>
      </w:pPr>
      <w:r>
        <w:t>Securing the environments beyond standard IT: operational technology, critical infrastructure, and distributed ledgers.</w:t>
      </w:r>
    </w:p>
    <w:p>
      <w:pPr>
        <w:pStyle w:val="CoverAttrib"/>
      </w:pPr>
      <w:r>
        <w:t>Tim D. Tipton Jr.  ·  The Cyber Alchemist</w:t>
      </w:r>
    </w:p>
    <w:tbl>
      <w:tblPr>
        <w:tblW w:w="10080" w:type="dxa"/>
        <w:tblBorders>
          <w:top w:val="none"/>
          <w:left w:val="none"/>
          <w:bottom w:val="none"/>
          <w:right w:val="none"/>
          <w:insideH w:val="none"/>
          <w:insideV w:val="none"/>
        </w:tblBorders>
        <w:tblLook w:firstColumn="1" w:firstRow="1" w:lastColumn="0" w:lastRow="0" w:noHBand="0" w:noVBand="1" w:val="04A0"/>
        <w:tblCaption w:val="Classification scheme"/>
        <w:tblDescription w:val="The three classification tiers, lowest to highest sensitivity: Public, Internal, Confidential."/>
      </w:tblPr>
      <w:tblGrid>
        <w:gridCol w:w="3360"/>
        <w:gridCol w:w="3360"/>
        <w:gridCol w:w="3360"/>
      </w:tblGrid>
      <w:tr>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01</w:t>
            </w:r>
          </w:p>
          <w:p>
            <w:pPr>
              <w:pStyle w:val="TileSym"/>
            </w:pPr>
            <w:r>
              <w:rPr>
                <w:rFonts w:ascii="Sora" w:hAnsi="Sora" w:cs="Sora"/>
                <w:b/>
                <w:color w:val="EAF0F2"/>
                <w:sz w:val="42"/>
              </w:rPr>
              <w:t>Do</w:t>
            </w:r>
          </w:p>
          <w:p>
            <w:pPr>
              <w:pStyle w:val="TileName"/>
            </w:pPr>
            <w:r>
              <w:rPr>
                <w:rFonts w:ascii="IBM Plex Mono" w:hAnsi="IBM Plex Mono" w:cs="IBM Plex Mono"/>
                <w:caps/>
                <w:color w:val="8FA0AB"/>
                <w:sz w:val="15"/>
              </w:rPr>
              <w:t>Domain</w:t>
            </w:r>
          </w:p>
        </w:tc>
        <w:tc>
          <w:tcPr>
            <w:tcW w:type="dxa" w:w="3360"/>
            <w:tcBorders>
              <w:top w:val="single" w:sz="6" w:space="0" w:color="1E2A31"/>
              <w:left w:val="single" w:sz="6" w:space="0" w:color="1E2A31"/>
              <w:bottom w:val="single" w:sz="6" w:space="0" w:color="1E2A31"/>
              <w:right w:val="single" w:sz="6" w:space="0" w:color="1E2A31"/>
            </w:tcBorders>
            <w:shd w:val="clear" w:color="auto" w:fill="141C22"/>
            <w:tcMar>
              <w:top w:w="14" w:type="dxa"/>
              <w:left w:w="16" w:type="dxa"/>
              <w:bottom w:w="16" w:type="dxa"/>
              <w:right w:w="16" w:type="dxa"/>
            </w:tcMar>
          </w:tcPr>
          <w:p>
            <w:pPr>
              <w:pStyle w:val="TileIdx"/>
            </w:pPr>
            <w:r>
              <w:rPr>
                <w:rFonts w:ascii="IBM Plex Mono" w:hAnsi="IBM Plex Mono" w:cs="IBM Plex Mono"/>
                <w:color w:val="5A6B75"/>
                <w:sz w:val="15"/>
              </w:rPr>
              <w:t>02</w:t>
            </w:r>
          </w:p>
          <w:p>
            <w:pPr>
              <w:pStyle w:val="TileSym"/>
            </w:pPr>
            <w:r>
              <w:rPr>
                <w:rFonts w:ascii="Sora" w:hAnsi="Sora" w:cs="Sora"/>
                <w:b/>
                <w:color w:val="EAF0F2"/>
                <w:sz w:val="42"/>
              </w:rPr>
              <w:t>Fa</w:t>
            </w:r>
          </w:p>
          <w:p>
            <w:pPr>
              <w:pStyle w:val="TileName"/>
            </w:pPr>
            <w:r>
              <w:rPr>
                <w:rFonts w:ascii="IBM Plex Mono" w:hAnsi="IBM Plex Mono" w:cs="IBM Plex Mono"/>
                <w:caps/>
                <w:color w:val="8FA0AB"/>
                <w:sz w:val="15"/>
              </w:rPr>
              <w:t>Family</w:t>
            </w:r>
          </w:p>
        </w:tc>
        <w:tc>
          <w:tcPr>
            <w:tcW w:type="dxa" w:w="3360"/>
            <w:tcBorders>
              <w:top w:val="single" w:sz="14" w:space="0" w:color="E9BD55"/>
              <w:left w:val="single" w:sz="14" w:space="0" w:color="E9BD55"/>
              <w:bottom w:val="single" w:sz="14" w:space="0" w:color="E9BD55"/>
              <w:right w:val="single" w:sz="14" w:space="0" w:color="E9BD55"/>
            </w:tcBorders>
            <w:shd w:val="clear" w:color="auto" w:fill="141C22"/>
            <w:tcMar>
              <w:top w:w="14" w:type="dxa"/>
              <w:left w:w="16" w:type="dxa"/>
              <w:bottom w:w="16" w:type="dxa"/>
              <w:right w:w="16" w:type="dxa"/>
            </w:tcMar>
          </w:tcPr>
          <w:p>
            <w:pPr>
              <w:pStyle w:val="TileIdxG"/>
            </w:pPr>
            <w:r>
              <w:rPr>
                <w:rFonts w:ascii="IBM Plex Mono" w:hAnsi="IBM Plex Mono" w:cs="IBM Plex Mono"/>
                <w:color w:val="E9BD55"/>
                <w:sz w:val="15"/>
              </w:rPr>
              <w:t>03</w:t>
            </w:r>
          </w:p>
          <w:p>
            <w:pPr>
              <w:pStyle w:val="TileSymG"/>
            </w:pPr>
            <w:r>
              <w:rPr>
                <w:rFonts w:ascii="Sora" w:hAnsi="Sora" w:cs="Sora"/>
                <w:b/>
                <w:color w:val="FBE08F"/>
                <w:sz w:val="42"/>
              </w:rPr>
              <w:t>Co</w:t>
            </w:r>
          </w:p>
          <w:p>
            <w:pPr>
              <w:pStyle w:val="TileNameG"/>
            </w:pPr>
            <w:r>
              <w:rPr>
                <w:rFonts w:ascii="IBM Plex Mono" w:hAnsi="IBM Plex Mono" w:cs="IBM Plex Mono"/>
                <w:caps/>
                <w:color w:val="E9BD55"/>
                <w:sz w:val="15"/>
              </w:rPr>
              <w:t>Control</w:t>
            </w:r>
          </w:p>
        </w:tc>
      </w:tr>
    </w:tbl>
    <w:p>
      <w:pPr>
        <w:pStyle w:val="SchemeCap"/>
      </w:pPr>
      <w:r>
        <w:t>Three layers, domain to control</w:t>
      </w:r>
    </w:p>
    <w:p>
      <w:pPr>
        <w:sectPr>
          <w:headerReference w:type="default" r:id="rId12"/>
          <w:footerReference w:type="default" r:id="rId13"/>
          <w:headerReference w:type="first" r:id="rId14"/>
          <w:footerReference w:type="first" r:id="rId15"/>
          <w:pgSz w:w="12240" w:h="15840"/>
          <w:pgMar w:top="1080" w:right="1080" w:bottom="1080" w:left="1080" w:header="720" w:footer="720" w:gutter="0"/>
          <w:cols w:space="720"/>
          <w:docGrid w:linePitch="360"/>
        </w:sectPr>
      </w:pPr>
    </w:p>
    <w:p>
      <w:pPr>
        <w:pStyle w:val="Kicker"/>
      </w:pPr>
      <w:r>
        <w:t>// document control</w:t>
      </w:r>
    </w:p>
    <w:tbl>
      <w:tblPr>
        <w:tblW w:type="auto" w:w="0"/>
        <w:tblLook w:firstColumn="1" w:firstRow="1" w:lastColumn="0" w:lastRow="0" w:noHBand="0" w:noVBand="1" w:val="04A0"/>
        <w:tblBorders>
          <w:top w:val="none"/>
          <w:left w:val="none"/>
          <w:bottom w:val="none"/>
          <w:right w:val="none"/>
          <w:insideH w:val="none"/>
          <w:insideV w:val="none"/>
        </w:tblBorders>
      </w:tblPr>
      <w:tblGrid>
        <w:gridCol w:w="4680"/>
        <w:gridCol w:w="4680"/>
      </w:tblGrid>
      <w:tr>
        <w:tc>
          <w:tcPr>
            <w:tcW w:type="dxa" w:w="4680"/>
          </w:tcPr>
          <w:p>
            <w:pPr>
              <w:pStyle w:val="HeadCellTxt"/>
            </w:pPr>
            <w:r>
              <w:t>Field</w:t>
            </w:r>
          </w:p>
        </w:tc>
        <w:tc>
          <w:tcPr>
            <w:tcW w:type="dxa" w:w="4680"/>
          </w:tcPr>
          <w:p>
            <w:pPr>
              <w:pStyle w:val="HeadCellTxt"/>
            </w:pPr>
            <w:r>
              <w:t>Entry</w:t>
            </w:r>
          </w:p>
        </w:tc>
      </w:tr>
      <w:tr>
        <w:tc>
          <w:tcPr>
            <w:tcW w:type="dxa" w:w="4680"/>
          </w:tcPr>
          <w:p>
            <w:pPr>
              <w:pStyle w:val="CellTxt"/>
            </w:pPr>
            <w:r>
              <w:t>Framework</w:t>
            </w:r>
          </w:p>
        </w:tc>
        <w:tc>
          <w:tcPr>
            <w:tcW w:type="dxa" w:w="4680"/>
          </w:tcPr>
          <w:p>
            <w:pPr>
              <w:pStyle w:val="CellTxt"/>
            </w:pPr>
            <w:r>
              <w:t>SCOPE, Strategic Cybersecurity Operations and Protection for Enterprises</w:t>
            </w:r>
          </w:p>
        </w:tc>
      </w:tr>
      <w:tr>
        <w:tc>
          <w:tcPr>
            <w:tcW w:type="dxa" w:w="4680"/>
          </w:tcPr>
          <w:p>
            <w:pPr>
              <w:pStyle w:val="CellTxt"/>
            </w:pPr>
            <w:r>
              <w:t>Document</w:t>
            </w:r>
          </w:p>
        </w:tc>
        <w:tc>
          <w:tcPr>
            <w:tcW w:type="dxa" w:w="4680"/>
          </w:tcPr>
          <w:p>
            <w:pPr>
              <w:pStyle w:val="CellTxt"/>
            </w:pPr>
            <w:r>
              <w:t>Cyber-Physical &amp; Distributed Systems Security Control Domain</w:t>
            </w:r>
          </w:p>
        </w:tc>
      </w:tr>
      <w:tr>
        <w:tc>
          <w:tcPr>
            <w:tcW w:type="dxa" w:w="4680"/>
          </w:tcPr>
          <w:p>
            <w:pPr>
              <w:pStyle w:val="CellTxt"/>
            </w:pPr>
            <w:r>
              <w:t>Author</w:t>
            </w:r>
          </w:p>
        </w:tc>
        <w:tc>
          <w:tcPr>
            <w:tcW w:type="dxa" w:w="4680"/>
          </w:tcPr>
          <w:p>
            <w:pPr>
              <w:pStyle w:val="CellTxt"/>
            </w:pPr>
            <w:r>
              <w:t>Tim D. Tipton Jr.</w:t>
            </w:r>
          </w:p>
        </w:tc>
      </w:tr>
      <w:tr>
        <w:tc>
          <w:tcPr>
            <w:tcW w:type="dxa" w:w="4680"/>
          </w:tcPr>
          <w:p>
            <w:pPr>
              <w:pStyle w:val="CellTxt"/>
            </w:pPr>
            <w:r>
              <w:t>Version</w:t>
            </w:r>
          </w:p>
        </w:tc>
        <w:tc>
          <w:tcPr>
            <w:tcW w:type="dxa" w:w="4680"/>
          </w:tcPr>
          <w:p>
            <w:pPr>
              <w:pStyle w:val="CellTxt"/>
            </w:pPr>
            <w:r>
              <w:t>1.0</w:t>
            </w:r>
          </w:p>
        </w:tc>
      </w:tr>
      <w:tr>
        <w:tc>
          <w:tcPr>
            <w:tcW w:type="dxa" w:w="4680"/>
          </w:tcPr>
          <w:p>
            <w:pPr>
              <w:pStyle w:val="CellTxt"/>
            </w:pPr>
            <w:r>
              <w:t>Date</w:t>
            </w:r>
          </w:p>
        </w:tc>
        <w:tc>
          <w:tcPr>
            <w:tcW w:type="dxa" w:w="4680"/>
          </w:tcPr>
          <w:p>
            <w:pPr>
              <w:pStyle w:val="CellTxt"/>
            </w:pPr>
            <w:r>
              <w:t>2026-07-22</w:t>
            </w:r>
          </w:p>
        </w:tc>
      </w:tr>
      <w:tr>
        <w:tc>
          <w:tcPr>
            <w:tcW w:type="dxa" w:w="4680"/>
          </w:tcPr>
          <w:p>
            <w:pPr>
              <w:pStyle w:val="CellTxt"/>
            </w:pPr>
            <w:r>
              <w:t>License</w:t>
            </w:r>
          </w:p>
        </w:tc>
        <w:tc>
          <w:tcPr>
            <w:tcW w:type="dxa" w:w="4680"/>
          </w:tcPr>
          <w:p>
            <w:pPr>
              <w:pStyle w:val="CellTxt"/>
            </w:pPr>
            <w:r>
              <w:t>CC BY 4.0</w:t>
            </w:r>
          </w:p>
        </w:tc>
      </w:tr>
      <w:tr>
        <w:tc>
          <w:tcPr>
            <w:tcW w:type="dxa" w:w="4680"/>
          </w:tcPr>
          <w:p>
            <w:pPr>
              <w:pStyle w:val="CellTxt"/>
            </w:pPr>
            <w:r>
              <w:t>Trademark</w:t>
            </w:r>
          </w:p>
        </w:tc>
        <w:tc>
          <w:tcPr>
            <w:tcW w:type="dxa" w:w="4680"/>
          </w:tcPr>
          <w:p>
            <w:pPr>
              <w:pStyle w:val="CellTxt"/>
            </w:pPr>
            <w:r>
              <w:t>SCOPE is a trademark of Tim D. Tipton Jr.</w:t>
            </w:r>
          </w:p>
        </w:tc>
      </w:tr>
      <w:tr>
        <w:tc>
          <w:tcPr>
            <w:tcW w:type="dxa" w:w="4680"/>
          </w:tcPr>
          <w:p>
            <w:pPr>
              <w:pStyle w:val="CellTxt"/>
            </w:pPr>
            <w:r>
              <w:t>Canonical source</w:t>
            </w:r>
          </w:p>
        </w:tc>
        <w:tc>
          <w:tcPr>
            <w:tcW w:type="dxa" w:w="4680"/>
          </w:tcPr>
          <w:p>
            <w:pPr>
              <w:pStyle w:val="CellTxt"/>
            </w:pPr>
            <w:r>
              <w:t>timtiptonjr.com/scope-hub</w:t>
            </w:r>
          </w:p>
        </w:tc>
      </w:tr>
      <w:tr>
        <w:tc>
          <w:tcPr>
            <w:tcW w:type="dxa" w:w="4680"/>
          </w:tcPr>
          <w:p>
            <w:pPr>
              <w:pStyle w:val="CellTxt"/>
            </w:pPr>
            <w:r>
              <w:t>Adopting organization</w:t>
            </w:r>
          </w:p>
        </w:tc>
        <w:tc>
          <w:tcPr>
            <w:tcW w:type="dxa" w:w="4680"/>
          </w:tcPr>
          <w:p>
            <w:pPr>
              <w:pStyle w:val="Placeholder"/>
            </w:pPr>
            <w:r>
              <w:t>Enter organization name</w:t>
            </w:r>
          </w:p>
        </w:tc>
      </w:tr>
      <w:tr>
        <w:tc>
          <w:tcPr>
            <w:tcW w:type="dxa" w:w="4680"/>
          </w:tcPr>
          <w:p>
            <w:pPr>
              <w:pStyle w:val="CellTxt"/>
            </w:pPr>
            <w:r>
              <w:t>Framework owner, role and name</w:t>
            </w:r>
          </w:p>
        </w:tc>
        <w:tc>
          <w:tcPr>
            <w:tcW w:type="dxa" w:w="4680"/>
          </w:tcPr>
          <w:p>
            <w:pPr>
              <w:pStyle w:val="Placeholder"/>
            </w:pPr>
            <w:r>
              <w:t>Enter role and name</w:t>
            </w:r>
          </w:p>
        </w:tc>
      </w:tr>
      <w:tr>
        <w:tc>
          <w:tcPr>
            <w:tcW w:type="dxa" w:w="4680"/>
          </w:tcPr>
          <w:p>
            <w:pPr>
              <w:pStyle w:val="CellTxt"/>
            </w:pPr>
            <w:r>
              <w:t>Effective date</w:t>
            </w:r>
          </w:p>
        </w:tc>
        <w:tc>
          <w:tcPr>
            <w:tcW w:type="dxa" w:w="4680"/>
          </w:tcPr>
          <w:p>
            <w:pPr>
              <w:pStyle w:val="Placeholder"/>
            </w:pPr>
            <w:r>
              <w:t>Enter effective date</w:t>
            </w:r>
          </w:p>
        </w:tc>
      </w:tr>
      <w:tr>
        <w:tc>
          <w:tcPr>
            <w:tcW w:type="dxa" w:w="4680"/>
          </w:tcPr>
          <w:p>
            <w:pPr>
              <w:pStyle w:val="CellTxt"/>
            </w:pPr>
            <w:r>
              <w:t>Review cycle</w:t>
            </w:r>
          </w:p>
        </w:tc>
        <w:tc>
          <w:tcPr>
            <w:tcW w:type="dxa" w:w="4680"/>
          </w:tcPr>
          <w:p>
            <w:pPr>
              <w:pStyle w:val="Placeholder"/>
            </w:pPr>
            <w:r>
              <w:t>Enter review cycle</w:t>
            </w:r>
          </w:p>
        </w:tc>
      </w:tr>
    </w:tbl>
    <w:p>
      <w:pPr>
        <w:pStyle w:val="Kicker"/>
      </w:pPr>
      <w:r>
        <w:t>// purpose</w:t>
      </w:r>
    </w:p>
    <w:p>
      <w:pPr>
        <w:pStyle w:val="Heading1"/>
      </w:pPr>
      <w:r>
        <w:t>Purpose</w:t>
      </w:r>
    </w:p>
    <w:p>
      <w:pPr/>
      <w:r>
        <w:t>The Cyber-Physical and Distributed Systems Security domain establishes the controls required to secure specialized operating environments beyond standard enterprise IT: Internet of Things and operational technology, smart cities and critical infrastructure, and blockchain and distributed ledger technologies. It addresses the constrained devices, legacy and real-time protocols, cyber-physical safety considerations, decentralized trust, and cross-sector interdependencies that distinguish these environments, ensuring that their adoption does not introduce systemic or physical risk to the enterprise.</w:t>
      </w:r>
    </w:p>
    <w:p>
      <w:pPr>
        <w:pStyle w:val="Kicker"/>
      </w:pPr>
      <w:r>
        <w:t>// control family</w:t>
      </w:r>
    </w:p>
    <w:p>
      <w:pPr>
        <w:pStyle w:val="Heading2"/>
      </w:pPr>
      <w:r>
        <w:t>IoT &amp; OT Security (IOT)</w:t>
      </w:r>
    </w:p>
    <w:p>
      <w:pPr/>
      <w:r>
        <w:t>The IoT &amp; OT Security (IOT) control family establishes the baseline security expectations and operational safeguards necessary to protect environments leveraging Internet of Things (IoT) and Operational Technology (OT) assets. These systems, which often bridge physical and digital infrastructure, pose unique challenges due to constrained devices, legacy protocols, and real-time operational demands. IOT controls are tailored to address lifecycle management, network segregation, secure firmware practices, and real-world risk mitigation specific to IoT and OT ecosystems.</w:t>
      </w:r>
    </w:p>
    <w:p>
      <w:pPr>
        <w:keepNext/>
        <w:spacing w:before="180"/>
      </w:pPr>
      <w:r>
        <w:rPr>
          <w:rFonts w:ascii="IBM Plex Mono" w:hAnsi="IBM Plex Mono" w:cs="IBM Plex Mono"/>
          <w:b/>
          <w:color w:val="0E8E66"/>
          <w:sz w:val="19"/>
        </w:rPr>
        <w:t>IOT-01</w:t>
      </w:r>
      <w:r>
        <w:rPr>
          <w:rFonts w:ascii="IBM Plex Sans" w:hAnsi="IBM Plex Sans" w:cs="IBM Plex Sans"/>
          <w:b/>
          <w:color w:val="0B0E11"/>
          <w:sz w:val="21"/>
        </w:rPr>
        <w:t xml:space="preserve">   Asset Classification &amp; Inventory for IoT/OT Devices</w:t>
      </w:r>
    </w:p>
    <w:p>
      <w:pPr/>
      <w:r>
        <w:t>Organizations shall maintain a continuously updated and categorized inventory of all IoT and OT devices, including make, model, firmware version, physical location, and assigned function.</w:t>
      </w:r>
    </w:p>
    <w:p>
      <w:pPr>
        <w:keepNext/>
        <w:spacing w:before="180"/>
      </w:pPr>
      <w:r>
        <w:rPr>
          <w:rFonts w:ascii="IBM Plex Mono" w:hAnsi="IBM Plex Mono" w:cs="IBM Plex Mono"/>
          <w:b/>
          <w:color w:val="0E8E66"/>
          <w:sz w:val="19"/>
        </w:rPr>
        <w:t>IOT-02</w:t>
      </w:r>
      <w:r>
        <w:rPr>
          <w:rFonts w:ascii="IBM Plex Sans" w:hAnsi="IBM Plex Sans" w:cs="IBM Plex Sans"/>
          <w:b/>
          <w:color w:val="0B0E11"/>
          <w:sz w:val="21"/>
        </w:rPr>
        <w:t xml:space="preserve">   Network Segmentation for IoT/OT Systems</w:t>
      </w:r>
    </w:p>
    <w:p>
      <w:pPr/>
      <w:r>
        <w:t>IoT and OT environments shall be logically segmented from enterprise and internet-facing networks using VLANs, firewalls, and unidirectional gateways where appropriate.</w:t>
      </w:r>
    </w:p>
    <w:p>
      <w:pPr>
        <w:keepNext/>
        <w:spacing w:before="180"/>
      </w:pPr>
      <w:r>
        <w:rPr>
          <w:rFonts w:ascii="IBM Plex Mono" w:hAnsi="IBM Plex Mono" w:cs="IBM Plex Mono"/>
          <w:b/>
          <w:color w:val="0E8E66"/>
          <w:sz w:val="19"/>
        </w:rPr>
        <w:t>IOT-03</w:t>
      </w:r>
      <w:r>
        <w:rPr>
          <w:rFonts w:ascii="IBM Plex Sans" w:hAnsi="IBM Plex Sans" w:cs="IBM Plex Sans"/>
          <w:b/>
          <w:color w:val="0B0E11"/>
          <w:sz w:val="21"/>
        </w:rPr>
        <w:t xml:space="preserve">   Protocol Whitelisting for OT Communications</w:t>
      </w:r>
    </w:p>
    <w:p>
      <w:pPr/>
      <w:r>
        <w:t>Only explicitly approved protocols (e.g., Modbus, DNP3, OPC-UA) shall be permitted within OT zones, and all traffic shall be logged and monitored for anomalies.</w:t>
      </w:r>
    </w:p>
    <w:p>
      <w:pPr>
        <w:keepNext/>
        <w:spacing w:before="180"/>
      </w:pPr>
      <w:r>
        <w:rPr>
          <w:rFonts w:ascii="IBM Plex Mono" w:hAnsi="IBM Plex Mono" w:cs="IBM Plex Mono"/>
          <w:b/>
          <w:color w:val="0E8E66"/>
          <w:sz w:val="19"/>
        </w:rPr>
        <w:t>IOT-04</w:t>
      </w:r>
      <w:r>
        <w:rPr>
          <w:rFonts w:ascii="IBM Plex Sans" w:hAnsi="IBM Plex Sans" w:cs="IBM Plex Sans"/>
          <w:b/>
          <w:color w:val="0B0E11"/>
          <w:sz w:val="21"/>
        </w:rPr>
        <w:t xml:space="preserve">   Secure Device Onboarding Process</w:t>
      </w:r>
    </w:p>
    <w:p>
      <w:pPr/>
      <w:r>
        <w:t>A formalized onboarding process shall be used for IoT/OT device deployment, which includes identity verification, initial configuration hardening, and secure provisioning.</w:t>
      </w:r>
    </w:p>
    <w:p>
      <w:pPr>
        <w:keepNext/>
        <w:spacing w:before="180"/>
      </w:pPr>
      <w:r>
        <w:rPr>
          <w:rFonts w:ascii="IBM Plex Mono" w:hAnsi="IBM Plex Mono" w:cs="IBM Plex Mono"/>
          <w:b/>
          <w:color w:val="0E8E66"/>
          <w:sz w:val="19"/>
        </w:rPr>
        <w:t>IOT-05</w:t>
      </w:r>
      <w:r>
        <w:rPr>
          <w:rFonts w:ascii="IBM Plex Sans" w:hAnsi="IBM Plex Sans" w:cs="IBM Plex Sans"/>
          <w:b/>
          <w:color w:val="0B0E11"/>
          <w:sz w:val="21"/>
        </w:rPr>
        <w:t xml:space="preserve">   Default Credential Elimination</w:t>
      </w:r>
    </w:p>
    <w:p>
      <w:pPr/>
      <w:r>
        <w:t>All default credentials on IoT and OT devices shall be changed during provisioning, and password complexity policies shall be enforced where device capability allows.</w:t>
      </w:r>
    </w:p>
    <w:p>
      <w:pPr>
        <w:keepNext/>
        <w:spacing w:before="180"/>
      </w:pPr>
      <w:r>
        <w:rPr>
          <w:rFonts w:ascii="IBM Plex Mono" w:hAnsi="IBM Plex Mono" w:cs="IBM Plex Mono"/>
          <w:b/>
          <w:color w:val="0E8E66"/>
          <w:sz w:val="19"/>
        </w:rPr>
        <w:t>IOT-06</w:t>
      </w:r>
      <w:r>
        <w:rPr>
          <w:rFonts w:ascii="IBM Plex Sans" w:hAnsi="IBM Plex Sans" w:cs="IBM Plex Sans"/>
          <w:b/>
          <w:color w:val="0B0E11"/>
          <w:sz w:val="21"/>
        </w:rPr>
        <w:t xml:space="preserve">   Firmware Validation and Signing</w:t>
      </w:r>
    </w:p>
    <w:p>
      <w:pPr/>
      <w:r>
        <w:t>All firmware updates shall be cryptographically signed, verified upon installation, and sourced from authenticated and trusted channels only.</w:t>
      </w:r>
    </w:p>
    <w:p>
      <w:pPr>
        <w:keepNext/>
        <w:spacing w:before="180"/>
      </w:pPr>
      <w:r>
        <w:rPr>
          <w:rFonts w:ascii="IBM Plex Mono" w:hAnsi="IBM Plex Mono" w:cs="IBM Plex Mono"/>
          <w:b/>
          <w:color w:val="0E8E66"/>
          <w:sz w:val="19"/>
        </w:rPr>
        <w:t>IOT-07</w:t>
      </w:r>
      <w:r>
        <w:rPr>
          <w:rFonts w:ascii="IBM Plex Sans" w:hAnsi="IBM Plex Sans" w:cs="IBM Plex Sans"/>
          <w:b/>
          <w:color w:val="0B0E11"/>
          <w:sz w:val="21"/>
        </w:rPr>
        <w:t xml:space="preserve">   Physical Tamper Resistance &amp; Detection</w:t>
      </w:r>
    </w:p>
    <w:p>
      <w:pPr/>
      <w:r>
        <w:t>IoT and OT devices located in uncontrolled or semi-controlled environments shall include tamper-evident features and detection mechanisms that alert on physical access or manipulation.</w:t>
      </w:r>
    </w:p>
    <w:p>
      <w:pPr>
        <w:keepNext/>
        <w:spacing w:before="180"/>
      </w:pPr>
      <w:r>
        <w:rPr>
          <w:rFonts w:ascii="IBM Plex Mono" w:hAnsi="IBM Plex Mono" w:cs="IBM Plex Mono"/>
          <w:b/>
          <w:color w:val="0E8E66"/>
          <w:sz w:val="19"/>
        </w:rPr>
        <w:t>IOT-08</w:t>
      </w:r>
      <w:r>
        <w:rPr>
          <w:rFonts w:ascii="IBM Plex Sans" w:hAnsi="IBM Plex Sans" w:cs="IBM Plex Sans"/>
          <w:b/>
          <w:color w:val="0B0E11"/>
          <w:sz w:val="21"/>
        </w:rPr>
        <w:t xml:space="preserve">   Wireless Protocol Security Controls</w:t>
      </w:r>
    </w:p>
    <w:p>
      <w:pPr/>
      <w:r>
        <w:t>Wireless communications used by IoT devices (e.g., Zigbee, BLE, LoRaWAN) shall be encrypted and authenticated using the strongest supported standards, with key rotation enforced.</w:t>
      </w:r>
    </w:p>
    <w:p>
      <w:pPr>
        <w:keepNext/>
        <w:spacing w:before="180"/>
      </w:pPr>
      <w:r>
        <w:rPr>
          <w:rFonts w:ascii="IBM Plex Mono" w:hAnsi="IBM Plex Mono" w:cs="IBM Plex Mono"/>
          <w:b/>
          <w:color w:val="0E8E66"/>
          <w:sz w:val="19"/>
        </w:rPr>
        <w:t>IOT-09</w:t>
      </w:r>
      <w:r>
        <w:rPr>
          <w:rFonts w:ascii="IBM Plex Sans" w:hAnsi="IBM Plex Sans" w:cs="IBM Plex Sans"/>
          <w:b/>
          <w:color w:val="0B0E11"/>
          <w:sz w:val="21"/>
        </w:rPr>
        <w:t xml:space="preserve">   Legacy OT System Hardening</w:t>
      </w:r>
    </w:p>
    <w:p>
      <w:pPr/>
      <w:r>
        <w:t>Legacy OT systems without native security controls shall be hardened using compensating controls such as protocol break proxies, secure enclaves, or access mediation gateways.</w:t>
      </w:r>
    </w:p>
    <w:p>
      <w:pPr>
        <w:keepNext/>
        <w:spacing w:before="180"/>
      </w:pPr>
      <w:r>
        <w:rPr>
          <w:rFonts w:ascii="IBM Plex Mono" w:hAnsi="IBM Plex Mono" w:cs="IBM Plex Mono"/>
          <w:b/>
          <w:color w:val="0E8E66"/>
          <w:sz w:val="19"/>
        </w:rPr>
        <w:t>IOT-10</w:t>
      </w:r>
      <w:r>
        <w:rPr>
          <w:rFonts w:ascii="IBM Plex Sans" w:hAnsi="IBM Plex Sans" w:cs="IBM Plex Sans"/>
          <w:b/>
          <w:color w:val="0B0E11"/>
          <w:sz w:val="21"/>
        </w:rPr>
        <w:t xml:space="preserve">   Device Function Restriction by Role</w:t>
      </w:r>
    </w:p>
    <w:p>
      <w:pPr/>
      <w:r>
        <w:t>IoT/OT device functionality shall be configured to operate only in alignment with its designated role, disabling unused ports, services, and administrative interfaces.</w:t>
      </w:r>
    </w:p>
    <w:p>
      <w:pPr>
        <w:keepNext/>
        <w:spacing w:before="180"/>
      </w:pPr>
      <w:r>
        <w:rPr>
          <w:rFonts w:ascii="IBM Plex Mono" w:hAnsi="IBM Plex Mono" w:cs="IBM Plex Mono"/>
          <w:b/>
          <w:color w:val="0E8E66"/>
          <w:sz w:val="19"/>
        </w:rPr>
        <w:t>IOT-11</w:t>
      </w:r>
      <w:r>
        <w:rPr>
          <w:rFonts w:ascii="IBM Plex Sans" w:hAnsi="IBM Plex Sans" w:cs="IBM Plex Sans"/>
          <w:b/>
          <w:color w:val="0B0E11"/>
          <w:sz w:val="21"/>
        </w:rPr>
        <w:t xml:space="preserve">   Time Synchronization with Trusted Sources</w:t>
      </w:r>
    </w:p>
    <w:p>
      <w:pPr/>
      <w:r>
        <w:t>All IoT/OT devices shall synchronize time with approved NTP sources to support log integrity, operational consistency, and forensic traceability.</w:t>
      </w:r>
    </w:p>
    <w:p>
      <w:pPr>
        <w:keepNext/>
        <w:spacing w:before="180"/>
      </w:pPr>
      <w:r>
        <w:rPr>
          <w:rFonts w:ascii="IBM Plex Mono" w:hAnsi="IBM Plex Mono" w:cs="IBM Plex Mono"/>
          <w:b/>
          <w:color w:val="0E8E66"/>
          <w:sz w:val="19"/>
        </w:rPr>
        <w:t>IOT-12</w:t>
      </w:r>
      <w:r>
        <w:rPr>
          <w:rFonts w:ascii="IBM Plex Sans" w:hAnsi="IBM Plex Sans" w:cs="IBM Plex Sans"/>
          <w:b/>
          <w:color w:val="0B0E11"/>
          <w:sz w:val="21"/>
        </w:rPr>
        <w:t xml:space="preserve">   Logging &amp; Audit Capabilities in Resource-Constrained Devices</w:t>
      </w:r>
    </w:p>
    <w:p>
      <w:pPr/>
      <w:r>
        <w:t>Where device limitations exist, centralized log collection agents or lightweight logging proxies shall be used to ensure operational visibility and event correlation.</w:t>
      </w:r>
    </w:p>
    <w:p>
      <w:pPr>
        <w:keepNext/>
        <w:spacing w:before="180"/>
      </w:pPr>
      <w:r>
        <w:rPr>
          <w:rFonts w:ascii="IBM Plex Mono" w:hAnsi="IBM Plex Mono" w:cs="IBM Plex Mono"/>
          <w:b/>
          <w:color w:val="0E8E66"/>
          <w:sz w:val="19"/>
        </w:rPr>
        <w:t>IOT-13</w:t>
      </w:r>
      <w:r>
        <w:rPr>
          <w:rFonts w:ascii="IBM Plex Sans" w:hAnsi="IBM Plex Sans" w:cs="IBM Plex Sans"/>
          <w:b/>
          <w:color w:val="0B0E11"/>
          <w:sz w:val="21"/>
        </w:rPr>
        <w:t xml:space="preserve">   Remote Management Access Control</w:t>
      </w:r>
    </w:p>
    <w:p>
      <w:pPr/>
      <w:r>
        <w:t>Remote access to IoT/OT devices shall be restricted to authorized administrators through encrypted channels, with session logging and time-bound access policies enforced.</w:t>
      </w:r>
    </w:p>
    <w:p>
      <w:pPr>
        <w:keepNext/>
        <w:spacing w:before="180"/>
      </w:pPr>
      <w:r>
        <w:rPr>
          <w:rFonts w:ascii="IBM Plex Mono" w:hAnsi="IBM Plex Mono" w:cs="IBM Plex Mono"/>
          <w:b/>
          <w:color w:val="0E8E66"/>
          <w:sz w:val="19"/>
        </w:rPr>
        <w:t>IOT-14</w:t>
      </w:r>
      <w:r>
        <w:rPr>
          <w:rFonts w:ascii="IBM Plex Sans" w:hAnsi="IBM Plex Sans" w:cs="IBM Plex Sans"/>
          <w:b/>
          <w:color w:val="0B0E11"/>
          <w:sz w:val="21"/>
        </w:rPr>
        <w:t xml:space="preserve">   Operational Safety Interlocks</w:t>
      </w:r>
    </w:p>
    <w:p>
      <w:pPr/>
      <w:r>
        <w:t>IoT/OT systems interfacing with physical equipment or human safety mechanisms shall implement safety interlocks to prevent unintended or unsafe actions resulting from compromise.</w:t>
      </w:r>
    </w:p>
    <w:p>
      <w:pPr>
        <w:keepNext/>
        <w:spacing w:before="180"/>
      </w:pPr>
      <w:r>
        <w:rPr>
          <w:rFonts w:ascii="IBM Plex Mono" w:hAnsi="IBM Plex Mono" w:cs="IBM Plex Mono"/>
          <w:b/>
          <w:color w:val="0E8E66"/>
          <w:sz w:val="19"/>
        </w:rPr>
        <w:t>IOT-15</w:t>
      </w:r>
      <w:r>
        <w:rPr>
          <w:rFonts w:ascii="IBM Plex Sans" w:hAnsi="IBM Plex Sans" w:cs="IBM Plex Sans"/>
          <w:b/>
          <w:color w:val="0B0E11"/>
          <w:sz w:val="21"/>
        </w:rPr>
        <w:t xml:space="preserve">   Patch Applicability &amp; Risk-Based Scheduling</w:t>
      </w:r>
    </w:p>
    <w:p>
      <w:pPr/>
      <w:r>
        <w:t>Patching for IoT and OT devices shall be evaluated for operational impact, and applied using risk-based schedules, prioritizing vulnerabilities with active exploitation or safety implications.</w:t>
      </w:r>
    </w:p>
    <w:p>
      <w:pPr>
        <w:keepNext/>
        <w:spacing w:before="180"/>
      </w:pPr>
      <w:r>
        <w:rPr>
          <w:rFonts w:ascii="IBM Plex Mono" w:hAnsi="IBM Plex Mono" w:cs="IBM Plex Mono"/>
          <w:b/>
          <w:color w:val="0E8E66"/>
          <w:sz w:val="19"/>
        </w:rPr>
        <w:t>IOT-16</w:t>
      </w:r>
      <w:r>
        <w:rPr>
          <w:rFonts w:ascii="IBM Plex Sans" w:hAnsi="IBM Plex Sans" w:cs="IBM Plex Sans"/>
          <w:b/>
          <w:color w:val="0B0E11"/>
          <w:sz w:val="21"/>
        </w:rPr>
        <w:t xml:space="preserve">   Traffic Behavior Baselines</w:t>
      </w:r>
    </w:p>
    <w:p>
      <w:pPr/>
      <w:r>
        <w:t>Behavioral baselining of IoT/OT device traffic shall be established and used to detect deviations that may indicate compromise, lateral movement, or malfunction.</w:t>
      </w:r>
    </w:p>
    <w:p>
      <w:pPr>
        <w:keepNext/>
        <w:spacing w:before="180"/>
      </w:pPr>
      <w:r>
        <w:rPr>
          <w:rFonts w:ascii="IBM Plex Mono" w:hAnsi="IBM Plex Mono" w:cs="IBM Plex Mono"/>
          <w:b/>
          <w:color w:val="0E8E66"/>
          <w:sz w:val="19"/>
        </w:rPr>
        <w:t>IOT-17</w:t>
      </w:r>
      <w:r>
        <w:rPr>
          <w:rFonts w:ascii="IBM Plex Sans" w:hAnsi="IBM Plex Sans" w:cs="IBM Plex Sans"/>
          <w:b/>
          <w:color w:val="0B0E11"/>
          <w:sz w:val="21"/>
        </w:rPr>
        <w:t xml:space="preserve">   OT System Remote Firmware Rollback Capability</w:t>
      </w:r>
    </w:p>
    <w:p>
      <w:pPr/>
      <w:r>
        <w:t>Firmware rollback functionality shall be tested and available for OT systems in the event that a new firmware introduces instability or unanticipated behavior.</w:t>
      </w:r>
    </w:p>
    <w:p>
      <w:pPr>
        <w:keepNext/>
        <w:spacing w:before="180"/>
      </w:pPr>
      <w:r>
        <w:rPr>
          <w:rFonts w:ascii="IBM Plex Mono" w:hAnsi="IBM Plex Mono" w:cs="IBM Plex Mono"/>
          <w:b/>
          <w:color w:val="0E8E66"/>
          <w:sz w:val="19"/>
        </w:rPr>
        <w:t>IOT-18</w:t>
      </w:r>
      <w:r>
        <w:rPr>
          <w:rFonts w:ascii="IBM Plex Sans" w:hAnsi="IBM Plex Sans" w:cs="IBM Plex Sans"/>
          <w:b/>
          <w:color w:val="0B0E11"/>
          <w:sz w:val="21"/>
        </w:rPr>
        <w:t xml:space="preserve">   Procurement Security Requirements for Devices</w:t>
      </w:r>
    </w:p>
    <w:p>
      <w:pPr/>
      <w:r>
        <w:t>Security requirements, including secure boot, update capabilities, and end-of-life support policies, shall be included in procurement criteria for all IoT and OT device acquisitions.</w:t>
      </w:r>
    </w:p>
    <w:p>
      <w:pPr>
        <w:keepNext/>
        <w:spacing w:before="180"/>
      </w:pPr>
      <w:r>
        <w:rPr>
          <w:rFonts w:ascii="IBM Plex Mono" w:hAnsi="IBM Plex Mono" w:cs="IBM Plex Mono"/>
          <w:b/>
          <w:color w:val="0E8E66"/>
          <w:sz w:val="19"/>
        </w:rPr>
        <w:t>IOT-19</w:t>
      </w:r>
      <w:r>
        <w:rPr>
          <w:rFonts w:ascii="IBM Plex Sans" w:hAnsi="IBM Plex Sans" w:cs="IBM Plex Sans"/>
          <w:b/>
          <w:color w:val="0B0E11"/>
          <w:sz w:val="21"/>
        </w:rPr>
        <w:t xml:space="preserve">   Maintenance &amp; Field Technician Identity Validation</w:t>
      </w:r>
    </w:p>
    <w:p>
      <w:pPr/>
      <w:r>
        <w:t>All field technician access to IoT/OT systems shall require strong identity verification and time-based authorization controls to prevent unauthorized servicing or modification.</w:t>
      </w:r>
    </w:p>
    <w:p>
      <w:pPr>
        <w:keepNext/>
        <w:spacing w:before="180"/>
      </w:pPr>
      <w:r>
        <w:rPr>
          <w:rFonts w:ascii="IBM Plex Mono" w:hAnsi="IBM Plex Mono" w:cs="IBM Plex Mono"/>
          <w:b/>
          <w:color w:val="0E8E66"/>
          <w:sz w:val="19"/>
        </w:rPr>
        <w:t>IOT-20</w:t>
      </w:r>
      <w:r>
        <w:rPr>
          <w:rFonts w:ascii="IBM Plex Sans" w:hAnsi="IBM Plex Sans" w:cs="IBM Plex Sans"/>
          <w:b/>
          <w:color w:val="0B0E11"/>
          <w:sz w:val="21"/>
        </w:rPr>
        <w:t xml:space="preserve">   End-of-Life Device Decommissioning Procedure</w:t>
      </w:r>
    </w:p>
    <w:p>
      <w:pPr/>
      <w:r>
        <w:t>IoT/OT devices that reach end-of-life shall be securely decommissioned using processes that remove all data, cryptographic keys, and network credentials from memory and storage.</w:t>
      </w:r>
    </w:p>
    <w:p>
      <w:pPr>
        <w:keepNext/>
        <w:spacing w:before="180"/>
      </w:pPr>
      <w:r>
        <w:rPr>
          <w:rFonts w:ascii="IBM Plex Mono" w:hAnsi="IBM Plex Mono" w:cs="IBM Plex Mono"/>
          <w:b/>
          <w:color w:val="0E8E66"/>
          <w:sz w:val="19"/>
        </w:rPr>
        <w:t>IOT-21</w:t>
      </w:r>
      <w:r>
        <w:rPr>
          <w:rFonts w:ascii="IBM Plex Sans" w:hAnsi="IBM Plex Sans" w:cs="IBM Plex Sans"/>
          <w:b/>
          <w:color w:val="0B0E11"/>
          <w:sz w:val="21"/>
        </w:rPr>
        <w:t xml:space="preserve">   Insider Threat Controls for Critical OT Infrastructure</w:t>
      </w:r>
    </w:p>
    <w:p>
      <w:pPr/>
      <w:r>
        <w:t>Insider threat detection and mitigation measures shall be extended to personnel with access to OT environments, including behavior analytics, background checks, and access reviews.</w:t>
      </w:r>
    </w:p>
    <w:p>
      <w:pPr>
        <w:keepNext/>
        <w:spacing w:before="180"/>
      </w:pPr>
      <w:r>
        <w:rPr>
          <w:rFonts w:ascii="IBM Plex Mono" w:hAnsi="IBM Plex Mono" w:cs="IBM Plex Mono"/>
          <w:b/>
          <w:color w:val="0E8E66"/>
          <w:sz w:val="19"/>
        </w:rPr>
        <w:t>IOT-22</w:t>
      </w:r>
      <w:r>
        <w:rPr>
          <w:rFonts w:ascii="IBM Plex Sans" w:hAnsi="IBM Plex Sans" w:cs="IBM Plex Sans"/>
          <w:b/>
          <w:color w:val="0B0E11"/>
          <w:sz w:val="21"/>
        </w:rPr>
        <w:t xml:space="preserve">   Safety &amp; Control System Redundancy</w:t>
      </w:r>
    </w:p>
    <w:p>
      <w:pPr/>
      <w:r>
        <w:t>Critical OT safety systems shall be designed with physical and logical redundancy to preserve integrity and availability during security events, malfunctions, or targeted disruptions.</w:t>
      </w:r>
    </w:p>
    <w:p>
      <w:pPr>
        <w:pStyle w:val="Kicker"/>
      </w:pPr>
      <w:r>
        <w:t>// control family</w:t>
      </w:r>
    </w:p>
    <w:p>
      <w:pPr>
        <w:pStyle w:val="Heading2"/>
      </w:pPr>
      <w:r>
        <w:t>Blockchain Security (BCS)</w:t>
      </w:r>
    </w:p>
    <w:p>
      <w:pPr/>
      <w:r>
        <w:t>The Blockchain Security (BCS) control family establishes safeguards for the secure design, deployment, and operation of blockchain-based technologies, whether public, private, or consortium-based. These controls address the decentralized nature of blockchain systems, smart contract integrity, consensus mechanism trust, and the proper handling of cryptographic elements inherent to distributed ledger technologies. BCS ensures that blockchain integrations do not introduce systemic risk, data compromise, or operational instability to the broader enterprise ecosystem.</w:t>
      </w:r>
    </w:p>
    <w:p>
      <w:pPr>
        <w:keepNext/>
        <w:spacing w:before="180"/>
      </w:pPr>
      <w:r>
        <w:rPr>
          <w:rFonts w:ascii="IBM Plex Mono" w:hAnsi="IBM Plex Mono" w:cs="IBM Plex Mono"/>
          <w:b/>
          <w:color w:val="0E8E66"/>
          <w:sz w:val="19"/>
        </w:rPr>
        <w:t>BCS-01</w:t>
      </w:r>
      <w:r>
        <w:rPr>
          <w:rFonts w:ascii="IBM Plex Sans" w:hAnsi="IBM Plex Sans" w:cs="IBM Plex Sans"/>
          <w:b/>
          <w:color w:val="0B0E11"/>
          <w:sz w:val="21"/>
        </w:rPr>
        <w:t xml:space="preserve">   Node Identity &amp; Trust Establishment</w:t>
      </w:r>
    </w:p>
    <w:p>
      <w:pPr/>
      <w:r>
        <w:t>All participating nodes in a blockchain network shall be authenticated using unique cryptographic identities, with trust established through pre-defined onboarding policies or consensus governance.</w:t>
      </w:r>
    </w:p>
    <w:p>
      <w:pPr>
        <w:keepNext/>
        <w:spacing w:before="180"/>
      </w:pPr>
      <w:r>
        <w:rPr>
          <w:rFonts w:ascii="IBM Plex Mono" w:hAnsi="IBM Plex Mono" w:cs="IBM Plex Mono"/>
          <w:b/>
          <w:color w:val="0E8E66"/>
          <w:sz w:val="19"/>
        </w:rPr>
        <w:t>BCS-02</w:t>
      </w:r>
      <w:r>
        <w:rPr>
          <w:rFonts w:ascii="IBM Plex Sans" w:hAnsi="IBM Plex Sans" w:cs="IBM Plex Sans"/>
          <w:b/>
          <w:color w:val="0B0E11"/>
          <w:sz w:val="21"/>
        </w:rPr>
        <w:t xml:space="preserve">   Smart Contract Security Review</w:t>
      </w:r>
    </w:p>
    <w:p>
      <w:pPr/>
      <w:r>
        <w:t>All smart contracts shall undergo manual and automated security reviews prior to deployment, including checks for logic flaws, gas limit abuse, reentrancy, and oracle manipulation.</w:t>
      </w:r>
    </w:p>
    <w:p>
      <w:pPr>
        <w:keepNext/>
        <w:spacing w:before="180"/>
      </w:pPr>
      <w:r>
        <w:rPr>
          <w:rFonts w:ascii="IBM Plex Mono" w:hAnsi="IBM Plex Mono" w:cs="IBM Plex Mono"/>
          <w:b/>
          <w:color w:val="0E8E66"/>
          <w:sz w:val="19"/>
        </w:rPr>
        <w:t>BCS-03</w:t>
      </w:r>
      <w:r>
        <w:rPr>
          <w:rFonts w:ascii="IBM Plex Sans" w:hAnsi="IBM Plex Sans" w:cs="IBM Plex Sans"/>
          <w:b/>
          <w:color w:val="0B0E11"/>
          <w:sz w:val="21"/>
        </w:rPr>
        <w:t xml:space="preserve">   Blockchain Consensus Integrity Monitoring</w:t>
      </w:r>
    </w:p>
    <w:p>
      <w:pPr/>
      <w:r>
        <w:t>Organizations shall monitor the consensus process for anomalies such as double-signing, stale block propagation, or unusual fork behavior that may indicate manipulation or failure.</w:t>
      </w:r>
    </w:p>
    <w:p>
      <w:pPr>
        <w:keepNext/>
        <w:spacing w:before="180"/>
      </w:pPr>
      <w:r>
        <w:rPr>
          <w:rFonts w:ascii="IBM Plex Mono" w:hAnsi="IBM Plex Mono" w:cs="IBM Plex Mono"/>
          <w:b/>
          <w:color w:val="0E8E66"/>
          <w:sz w:val="19"/>
        </w:rPr>
        <w:t>BCS-04</w:t>
      </w:r>
      <w:r>
        <w:rPr>
          <w:rFonts w:ascii="IBM Plex Sans" w:hAnsi="IBM Plex Sans" w:cs="IBM Plex Sans"/>
          <w:b/>
          <w:color w:val="0B0E11"/>
          <w:sz w:val="21"/>
        </w:rPr>
        <w:t xml:space="preserve">   Immutable Ledger Access Control</w:t>
      </w:r>
    </w:p>
    <w:p>
      <w:pPr/>
      <w:r>
        <w:t>Read and write access to blockchain interfaces shall be controlled via cryptographically enforced permissions, and unauthorized access attempts shall be logged and alertable.</w:t>
      </w:r>
    </w:p>
    <w:p>
      <w:pPr>
        <w:keepNext/>
        <w:spacing w:before="180"/>
      </w:pPr>
      <w:r>
        <w:rPr>
          <w:rFonts w:ascii="IBM Plex Mono" w:hAnsi="IBM Plex Mono" w:cs="IBM Plex Mono"/>
          <w:b/>
          <w:color w:val="0E8E66"/>
          <w:sz w:val="19"/>
        </w:rPr>
        <w:t>BCS-05</w:t>
      </w:r>
      <w:r>
        <w:rPr>
          <w:rFonts w:ascii="IBM Plex Sans" w:hAnsi="IBM Plex Sans" w:cs="IBM Plex Sans"/>
          <w:b/>
          <w:color w:val="0B0E11"/>
          <w:sz w:val="21"/>
        </w:rPr>
        <w:t xml:space="preserve">   On-Chain Data Classification &amp; Minimization</w:t>
      </w:r>
    </w:p>
    <w:p>
      <w:pPr/>
      <w:r>
        <w:t>Only non-sensitive, non-personal data shall be written to public or consortium blockchains unless regulatory exemptions and encryption protections are explicitly in place.</w:t>
      </w:r>
    </w:p>
    <w:p>
      <w:pPr>
        <w:keepNext/>
        <w:spacing w:before="180"/>
      </w:pPr>
      <w:r>
        <w:rPr>
          <w:rFonts w:ascii="IBM Plex Mono" w:hAnsi="IBM Plex Mono" w:cs="IBM Plex Mono"/>
          <w:b/>
          <w:color w:val="0E8E66"/>
          <w:sz w:val="19"/>
        </w:rPr>
        <w:t>BCS-06</w:t>
      </w:r>
      <w:r>
        <w:rPr>
          <w:rFonts w:ascii="IBM Plex Sans" w:hAnsi="IBM Plex Sans" w:cs="IBM Plex Sans"/>
          <w:b/>
          <w:color w:val="0B0E11"/>
          <w:sz w:val="21"/>
        </w:rPr>
        <w:t xml:space="preserve">   Private Key Custody &amp; Protection</w:t>
      </w:r>
    </w:p>
    <w:p>
      <w:pPr/>
      <w:r>
        <w:t>All private keys used for signing transactions, managing smart contracts, or operating nodes shall be secured using hardware security modules (HSMs) or equivalent vaulting technologies.</w:t>
      </w:r>
    </w:p>
    <w:p>
      <w:pPr>
        <w:keepNext/>
        <w:spacing w:before="180"/>
      </w:pPr>
      <w:r>
        <w:rPr>
          <w:rFonts w:ascii="IBM Plex Mono" w:hAnsi="IBM Plex Mono" w:cs="IBM Plex Mono"/>
          <w:b/>
          <w:color w:val="0E8E66"/>
          <w:sz w:val="19"/>
        </w:rPr>
        <w:t>BCS-07</w:t>
      </w:r>
      <w:r>
        <w:rPr>
          <w:rFonts w:ascii="IBM Plex Sans" w:hAnsi="IBM Plex Sans" w:cs="IBM Plex Sans"/>
          <w:b/>
          <w:color w:val="0B0E11"/>
          <w:sz w:val="21"/>
        </w:rPr>
        <w:t xml:space="preserve">   Blockchain Network Partition Detection</w:t>
      </w:r>
    </w:p>
    <w:p>
      <w:pPr/>
      <w:r>
        <w:t>Mechanisms shall be in place to detect and alert on partitioned blockchain networks (e.g., network splits or eclipse attacks) that may cause inconsistent ledgers or transaction fraud.</w:t>
      </w:r>
    </w:p>
    <w:p>
      <w:pPr>
        <w:keepNext/>
        <w:spacing w:before="180"/>
      </w:pPr>
      <w:r>
        <w:rPr>
          <w:rFonts w:ascii="IBM Plex Mono" w:hAnsi="IBM Plex Mono" w:cs="IBM Plex Mono"/>
          <w:b/>
          <w:color w:val="0E8E66"/>
          <w:sz w:val="19"/>
        </w:rPr>
        <w:t>BCS-08</w:t>
      </w:r>
      <w:r>
        <w:rPr>
          <w:rFonts w:ascii="IBM Plex Sans" w:hAnsi="IBM Plex Sans" w:cs="IBM Plex Sans"/>
          <w:b/>
          <w:color w:val="0B0E11"/>
          <w:sz w:val="21"/>
        </w:rPr>
        <w:t xml:space="preserve">   Gas &amp; Resource Abuse Limiting</w:t>
      </w:r>
    </w:p>
    <w:p>
      <w:pPr/>
      <w:r>
        <w:t>Smart contract platforms shall enforce transaction limits, gas ceilings, and execution timeouts to prevent denial-of-service conditions or unintended resource exhaustion.</w:t>
      </w:r>
    </w:p>
    <w:p>
      <w:pPr>
        <w:keepNext/>
        <w:spacing w:before="180"/>
      </w:pPr>
      <w:r>
        <w:rPr>
          <w:rFonts w:ascii="IBM Plex Mono" w:hAnsi="IBM Plex Mono" w:cs="IBM Plex Mono"/>
          <w:b/>
          <w:color w:val="0E8E66"/>
          <w:sz w:val="19"/>
        </w:rPr>
        <w:t>BCS-09</w:t>
      </w:r>
      <w:r>
        <w:rPr>
          <w:rFonts w:ascii="IBM Plex Sans" w:hAnsi="IBM Plex Sans" w:cs="IBM Plex Sans"/>
          <w:b/>
          <w:color w:val="0B0E11"/>
          <w:sz w:val="21"/>
        </w:rPr>
        <w:t xml:space="preserve">   Smart Contract Versioning &amp; Governance</w:t>
      </w:r>
    </w:p>
    <w:p>
      <w:pPr/>
      <w:r>
        <w:t>Version control and formal governance processes shall be implemented to manage updates, upgrades, and deprecations of deployed smart contracts in a controlled manner.</w:t>
      </w:r>
    </w:p>
    <w:p>
      <w:pPr>
        <w:keepNext/>
        <w:spacing w:before="180"/>
      </w:pPr>
      <w:r>
        <w:rPr>
          <w:rFonts w:ascii="IBM Plex Mono" w:hAnsi="IBM Plex Mono" w:cs="IBM Plex Mono"/>
          <w:b/>
          <w:color w:val="0E8E66"/>
          <w:sz w:val="19"/>
        </w:rPr>
        <w:t>BCS-10</w:t>
      </w:r>
      <w:r>
        <w:rPr>
          <w:rFonts w:ascii="IBM Plex Sans" w:hAnsi="IBM Plex Sans" w:cs="IBM Plex Sans"/>
          <w:b/>
          <w:color w:val="0B0E11"/>
          <w:sz w:val="21"/>
        </w:rPr>
        <w:t xml:space="preserve">   Off-Chain Computation Integrity Controls</w:t>
      </w:r>
    </w:p>
    <w:p>
      <w:pPr/>
      <w:r>
        <w:t>Where blockchain logic relies on off-chain computation or oracles, controls shall ensure authenticity, accuracy, and resistance to manipulation of those external data sources.</w:t>
      </w:r>
    </w:p>
    <w:p>
      <w:pPr>
        <w:keepNext/>
        <w:spacing w:before="180"/>
      </w:pPr>
      <w:r>
        <w:rPr>
          <w:rFonts w:ascii="IBM Plex Mono" w:hAnsi="IBM Plex Mono" w:cs="IBM Plex Mono"/>
          <w:b/>
          <w:color w:val="0E8E66"/>
          <w:sz w:val="19"/>
        </w:rPr>
        <w:t>BCS-11</w:t>
      </w:r>
      <w:r>
        <w:rPr>
          <w:rFonts w:ascii="IBM Plex Sans" w:hAnsi="IBM Plex Sans" w:cs="IBM Plex Sans"/>
          <w:b/>
          <w:color w:val="0B0E11"/>
          <w:sz w:val="21"/>
        </w:rPr>
        <w:t xml:space="preserve">   Transaction Anomaly Detection</w:t>
      </w:r>
    </w:p>
    <w:p>
      <w:pPr/>
      <w:r>
        <w:t>Automated systems shall monitor blockchain transactions for anomalies such as batch minting, flash loan attacks, or signature forgeries indicative of compromise or abuse.</w:t>
      </w:r>
    </w:p>
    <w:p>
      <w:pPr>
        <w:keepNext/>
        <w:spacing w:before="180"/>
      </w:pPr>
      <w:r>
        <w:rPr>
          <w:rFonts w:ascii="IBM Plex Mono" w:hAnsi="IBM Plex Mono" w:cs="IBM Plex Mono"/>
          <w:b/>
          <w:color w:val="0E8E66"/>
          <w:sz w:val="19"/>
        </w:rPr>
        <w:t>BCS-12</w:t>
      </w:r>
      <w:r>
        <w:rPr>
          <w:rFonts w:ascii="IBM Plex Sans" w:hAnsi="IBM Plex Sans" w:cs="IBM Plex Sans"/>
          <w:b/>
          <w:color w:val="0B0E11"/>
          <w:sz w:val="21"/>
        </w:rPr>
        <w:t xml:space="preserve">   Blockchain Fork Response Strategy</w:t>
      </w:r>
    </w:p>
    <w:p>
      <w:pPr/>
      <w:r>
        <w:t>Organizations shall maintain procedures for responding to unplanned hard forks, chain reorganizations, or network consensus failures, including impact assessments and rollback readiness.</w:t>
      </w:r>
    </w:p>
    <w:p>
      <w:pPr>
        <w:keepNext/>
        <w:spacing w:before="180"/>
      </w:pPr>
      <w:r>
        <w:rPr>
          <w:rFonts w:ascii="IBM Plex Mono" w:hAnsi="IBM Plex Mono" w:cs="IBM Plex Mono"/>
          <w:b/>
          <w:color w:val="0E8E66"/>
          <w:sz w:val="19"/>
        </w:rPr>
        <w:t>BCS-13</w:t>
      </w:r>
      <w:r>
        <w:rPr>
          <w:rFonts w:ascii="IBM Plex Sans" w:hAnsi="IBM Plex Sans" w:cs="IBM Plex Sans"/>
          <w:b/>
          <w:color w:val="0B0E11"/>
          <w:sz w:val="21"/>
        </w:rPr>
        <w:t xml:space="preserve">   Token &amp; Asset Control Policy Enforcement</w:t>
      </w:r>
    </w:p>
    <w:p>
      <w:pPr/>
      <w:r>
        <w:t>For blockchain systems that include tokenized assets, policies shall define ownership verification, transfer rules, revocation conditions, and recovery mechanisms for lost or stolen assets.</w:t>
      </w:r>
    </w:p>
    <w:p>
      <w:pPr>
        <w:keepNext/>
        <w:spacing w:before="180"/>
      </w:pPr>
      <w:r>
        <w:rPr>
          <w:rFonts w:ascii="IBM Plex Mono" w:hAnsi="IBM Plex Mono" w:cs="IBM Plex Mono"/>
          <w:b/>
          <w:color w:val="0E8E66"/>
          <w:sz w:val="19"/>
        </w:rPr>
        <w:t>BCS-14</w:t>
      </w:r>
      <w:r>
        <w:rPr>
          <w:rFonts w:ascii="IBM Plex Sans" w:hAnsi="IBM Plex Sans" w:cs="IBM Plex Sans"/>
          <w:b/>
          <w:color w:val="0B0E11"/>
          <w:sz w:val="21"/>
        </w:rPr>
        <w:t xml:space="preserve">   Smart Contract Kill Switch Capability</w:t>
      </w:r>
    </w:p>
    <w:p>
      <w:pPr/>
      <w:r>
        <w:t>Smart contracts that perform financial, physical, or irreversible functions shall include administrative controls (e.g., pause, disable, or self-destruct) for emergency intervention.</w:t>
      </w:r>
    </w:p>
    <w:p>
      <w:pPr>
        <w:keepNext/>
        <w:spacing w:before="180"/>
      </w:pPr>
      <w:r>
        <w:rPr>
          <w:rFonts w:ascii="IBM Plex Mono" w:hAnsi="IBM Plex Mono" w:cs="IBM Plex Mono"/>
          <w:b/>
          <w:color w:val="0E8E66"/>
          <w:sz w:val="19"/>
        </w:rPr>
        <w:t>BCS-15</w:t>
      </w:r>
      <w:r>
        <w:rPr>
          <w:rFonts w:ascii="IBM Plex Sans" w:hAnsi="IBM Plex Sans" w:cs="IBM Plex Sans"/>
          <w:b/>
          <w:color w:val="0B0E11"/>
          <w:sz w:val="21"/>
        </w:rPr>
        <w:t xml:space="preserve">   Blockchain Interoperability Gateway Security</w:t>
      </w:r>
    </w:p>
    <w:p>
      <w:pPr/>
      <w:r>
        <w:t>Interfaces between different blockchains (e.g., bridges, pegs, relays) shall be secured with authentication, access control, and transaction integrity checks to prevent cross-chain attacks.</w:t>
      </w:r>
    </w:p>
    <w:p>
      <w:pPr>
        <w:keepNext/>
        <w:spacing w:before="180"/>
      </w:pPr>
      <w:r>
        <w:rPr>
          <w:rFonts w:ascii="IBM Plex Mono" w:hAnsi="IBM Plex Mono" w:cs="IBM Plex Mono"/>
          <w:b/>
          <w:color w:val="0E8E66"/>
          <w:sz w:val="19"/>
        </w:rPr>
        <w:t>BCS-16</w:t>
      </w:r>
      <w:r>
        <w:rPr>
          <w:rFonts w:ascii="IBM Plex Sans" w:hAnsi="IBM Plex Sans" w:cs="IBM Plex Sans"/>
          <w:b/>
          <w:color w:val="0B0E11"/>
          <w:sz w:val="21"/>
        </w:rPr>
        <w:t xml:space="preserve">   Multi-Signature Requirements for Critical Functions</w:t>
      </w:r>
    </w:p>
    <w:p>
      <w:pPr/>
      <w:r>
        <w:t>Blockchain-based operations with high impact, such as treasury withdrawals, contract upgrades, or validator rotation, shall require multi-signature approvals to reduce single points of failure.</w:t>
      </w:r>
    </w:p>
    <w:p>
      <w:pPr>
        <w:keepNext/>
        <w:spacing w:before="180"/>
      </w:pPr>
      <w:r>
        <w:rPr>
          <w:rFonts w:ascii="IBM Plex Mono" w:hAnsi="IBM Plex Mono" w:cs="IBM Plex Mono"/>
          <w:b/>
          <w:color w:val="0E8E66"/>
          <w:sz w:val="19"/>
        </w:rPr>
        <w:t>BCS-17</w:t>
      </w:r>
      <w:r>
        <w:rPr>
          <w:rFonts w:ascii="IBM Plex Sans" w:hAnsi="IBM Plex Sans" w:cs="IBM Plex Sans"/>
          <w:b/>
          <w:color w:val="0B0E11"/>
          <w:sz w:val="21"/>
        </w:rPr>
        <w:t xml:space="preserve">   Node Software Hardening &amp; Update Controls</w:t>
      </w:r>
    </w:p>
    <w:p>
      <w:pPr/>
      <w:r>
        <w:t>All blockchain node software shall be securely configured, kept up to date with validated patches, and monitored for tampering or version drift.</w:t>
      </w:r>
    </w:p>
    <w:p>
      <w:pPr>
        <w:keepNext/>
        <w:spacing w:before="180"/>
      </w:pPr>
      <w:r>
        <w:rPr>
          <w:rFonts w:ascii="IBM Plex Mono" w:hAnsi="IBM Plex Mono" w:cs="IBM Plex Mono"/>
          <w:b/>
          <w:color w:val="0E8E66"/>
          <w:sz w:val="19"/>
        </w:rPr>
        <w:t>BCS-18</w:t>
      </w:r>
      <w:r>
        <w:rPr>
          <w:rFonts w:ascii="IBM Plex Sans" w:hAnsi="IBM Plex Sans" w:cs="IBM Plex Sans"/>
          <w:b/>
          <w:color w:val="0B0E11"/>
          <w:sz w:val="21"/>
        </w:rPr>
        <w:t xml:space="preserve">   Regulatory Compliance of Blockchain Use Cases</w:t>
      </w:r>
    </w:p>
    <w:p>
      <w:pPr/>
      <w:r>
        <w:t>Blockchain implementations shall be evaluated for compliance with applicable laws, including KYC/AML regulations, financial transaction reporting, and digital identity standards.</w:t>
      </w:r>
    </w:p>
    <w:p>
      <w:pPr>
        <w:keepNext/>
        <w:spacing w:before="180"/>
      </w:pPr>
      <w:r>
        <w:rPr>
          <w:rFonts w:ascii="IBM Plex Mono" w:hAnsi="IBM Plex Mono" w:cs="IBM Plex Mono"/>
          <w:b/>
          <w:color w:val="0E8E66"/>
          <w:sz w:val="19"/>
        </w:rPr>
        <w:t>BCS-19</w:t>
      </w:r>
      <w:r>
        <w:rPr>
          <w:rFonts w:ascii="IBM Plex Sans" w:hAnsi="IBM Plex Sans" w:cs="IBM Plex Sans"/>
          <w:b/>
          <w:color w:val="0B0E11"/>
          <w:sz w:val="21"/>
        </w:rPr>
        <w:t xml:space="preserve">   Encryption for Layer-2 and Off-Chain Storage</w:t>
      </w:r>
    </w:p>
    <w:p>
      <w:pPr/>
      <w:r>
        <w:t>Any off-chain data referenced by blockchain transactions shall be encrypted at rest and in transit, with tamper detection and access control equivalent to on-chain protections.</w:t>
      </w:r>
    </w:p>
    <w:p>
      <w:pPr>
        <w:keepNext/>
        <w:spacing w:before="180"/>
      </w:pPr>
      <w:r>
        <w:rPr>
          <w:rFonts w:ascii="IBM Plex Mono" w:hAnsi="IBM Plex Mono" w:cs="IBM Plex Mono"/>
          <w:b/>
          <w:color w:val="0E8E66"/>
          <w:sz w:val="19"/>
        </w:rPr>
        <w:t>BCS-20</w:t>
      </w:r>
      <w:r>
        <w:rPr>
          <w:rFonts w:ascii="IBM Plex Sans" w:hAnsi="IBM Plex Sans" w:cs="IBM Plex Sans"/>
          <w:b/>
          <w:color w:val="0B0E11"/>
          <w:sz w:val="21"/>
        </w:rPr>
        <w:t xml:space="preserve">   Governance Model Transparency</w:t>
      </w:r>
    </w:p>
    <w:p>
      <w:pPr/>
      <w:r>
        <w:t>Organizations shall document and make transparent the governance structures controlling blockchain network rules, upgrade procedures, node admission, and dispute resolution processes.</w:t>
      </w:r>
    </w:p>
    <w:p>
      <w:pPr>
        <w:keepNext/>
        <w:spacing w:before="180"/>
      </w:pPr>
      <w:r>
        <w:rPr>
          <w:rFonts w:ascii="IBM Plex Mono" w:hAnsi="IBM Plex Mono" w:cs="IBM Plex Mono"/>
          <w:b/>
          <w:color w:val="0E8E66"/>
          <w:sz w:val="19"/>
        </w:rPr>
        <w:t>BCS-21</w:t>
      </w:r>
      <w:r>
        <w:rPr>
          <w:rFonts w:ascii="IBM Plex Sans" w:hAnsi="IBM Plex Sans" w:cs="IBM Plex Sans"/>
          <w:b/>
          <w:color w:val="0B0E11"/>
          <w:sz w:val="21"/>
        </w:rPr>
        <w:t xml:space="preserve">   Smart Contract Deployment Environment Isolation</w:t>
      </w:r>
    </w:p>
    <w:p>
      <w:pPr/>
      <w:r>
        <w:t>Smart contracts shall be developed and tested in isolated environments that mirror production conditions, with enforcement of promotion workflows through staging gates and peer validation.</w:t>
      </w:r>
    </w:p>
    <w:p>
      <w:pPr>
        <w:keepNext/>
        <w:spacing w:before="180"/>
      </w:pPr>
      <w:r>
        <w:rPr>
          <w:rFonts w:ascii="IBM Plex Mono" w:hAnsi="IBM Plex Mono" w:cs="IBM Plex Mono"/>
          <w:b/>
          <w:color w:val="0E8E66"/>
          <w:sz w:val="19"/>
        </w:rPr>
        <w:t>BCS-22</w:t>
      </w:r>
      <w:r>
        <w:rPr>
          <w:rFonts w:ascii="IBM Plex Sans" w:hAnsi="IBM Plex Sans" w:cs="IBM Plex Sans"/>
          <w:b/>
          <w:color w:val="0B0E11"/>
          <w:sz w:val="21"/>
        </w:rPr>
        <w:t xml:space="preserve">   Blockchain-Specific Incident Response Plan</w:t>
      </w:r>
    </w:p>
    <w:p>
      <w:pPr/>
      <w:r>
        <w:t>Incident response plans shall include procedures specific to blockchain scenarios such as smart contract compromise, consensus attack, key leakage, or governance disputes.</w:t>
      </w:r>
    </w:p>
    <w:p>
      <w:pPr>
        <w:pStyle w:val="Kicker"/>
      </w:pPr>
      <w:r>
        <w:t>// control family</w:t>
      </w:r>
    </w:p>
    <w:p>
      <w:pPr>
        <w:pStyle w:val="Heading2"/>
      </w:pPr>
      <w:r>
        <w:t>Smart Cities &amp; Critical Infrastructure Protection (SCI)</w:t>
      </w:r>
    </w:p>
    <w:p>
      <w:pPr/>
      <w:r>
        <w:t>The Smart Cities &amp; Critical Infrastructure Protection (SCI) control family provides security controls tailored to the interconnected, data-driven ecosystems that define modern urban infrastructure. These environments blend civic services, industrial control systems (ICS), public-private data exchanges, and real-time digital infrastructure across domains such as transportation, utilities, and public safety. SCI controls address systemic resilience, cross-sector interdependencies, cyber-physical security integration, and governance mechanisms for critical systems operating at urban scale.</w:t>
      </w:r>
    </w:p>
    <w:p>
      <w:pPr>
        <w:keepNext/>
        <w:spacing w:before="180"/>
      </w:pPr>
      <w:r>
        <w:rPr>
          <w:rFonts w:ascii="IBM Plex Mono" w:hAnsi="IBM Plex Mono" w:cs="IBM Plex Mono"/>
          <w:b/>
          <w:color w:val="0E8E66"/>
          <w:sz w:val="19"/>
        </w:rPr>
        <w:t>SCI-01</w:t>
      </w:r>
      <w:r>
        <w:rPr>
          <w:rFonts w:ascii="IBM Plex Sans" w:hAnsi="IBM Plex Sans" w:cs="IBM Plex Sans"/>
          <w:b/>
          <w:color w:val="0B0E11"/>
          <w:sz w:val="21"/>
        </w:rPr>
        <w:t xml:space="preserve">   Urban System Dependency Mapping</w:t>
      </w:r>
    </w:p>
    <w:p>
      <w:pPr/>
      <w:r>
        <w:t>Organizations shall document and maintain current maps of interdependencies across critical infrastructure systems (e.g., power, water, transportation, emergency services) to identify systemic risks and cascading failure paths.</w:t>
      </w:r>
    </w:p>
    <w:p>
      <w:pPr>
        <w:keepNext/>
        <w:spacing w:before="180"/>
      </w:pPr>
      <w:r>
        <w:rPr>
          <w:rFonts w:ascii="IBM Plex Mono" w:hAnsi="IBM Plex Mono" w:cs="IBM Plex Mono"/>
          <w:b/>
          <w:color w:val="0E8E66"/>
          <w:sz w:val="19"/>
        </w:rPr>
        <w:t>SCI-02</w:t>
      </w:r>
      <w:r>
        <w:rPr>
          <w:rFonts w:ascii="IBM Plex Sans" w:hAnsi="IBM Plex Sans" w:cs="IBM Plex Sans"/>
          <w:b/>
          <w:color w:val="0B0E11"/>
          <w:sz w:val="21"/>
        </w:rPr>
        <w:t xml:space="preserve">   Cross-Domain Data Exchange Governance</w:t>
      </w:r>
    </w:p>
    <w:p>
      <w:pPr/>
      <w:r>
        <w:t>All data exchanges between city departments, private vendors, and infrastructure systems shall follow documented governance models ensuring integrity, consent, accountability, and lawful use of shared data.</w:t>
      </w:r>
    </w:p>
    <w:p>
      <w:pPr>
        <w:keepNext/>
        <w:spacing w:before="180"/>
      </w:pPr>
      <w:r>
        <w:rPr>
          <w:rFonts w:ascii="IBM Plex Mono" w:hAnsi="IBM Plex Mono" w:cs="IBM Plex Mono"/>
          <w:b/>
          <w:color w:val="0E8E66"/>
          <w:sz w:val="19"/>
        </w:rPr>
        <w:t>SCI-03</w:t>
      </w:r>
      <w:r>
        <w:rPr>
          <w:rFonts w:ascii="IBM Plex Sans" w:hAnsi="IBM Plex Sans" w:cs="IBM Plex Sans"/>
          <w:b/>
          <w:color w:val="0B0E11"/>
          <w:sz w:val="21"/>
        </w:rPr>
        <w:t xml:space="preserve">   Real-Time Sensor Data Integrity Verification</w:t>
      </w:r>
    </w:p>
    <w:p>
      <w:pPr/>
      <w:r>
        <w:t>Controls shall validate the authenticity and consistency of sensor data used in real-time decision-making systems (e.g., traffic control, utilities monitoring), with alerts on out-of-band data or spoofing attempts.</w:t>
      </w:r>
    </w:p>
    <w:p>
      <w:pPr>
        <w:keepNext/>
        <w:spacing w:before="180"/>
      </w:pPr>
      <w:r>
        <w:rPr>
          <w:rFonts w:ascii="IBM Plex Mono" w:hAnsi="IBM Plex Mono" w:cs="IBM Plex Mono"/>
          <w:b/>
          <w:color w:val="0E8E66"/>
          <w:sz w:val="19"/>
        </w:rPr>
        <w:t>SCI-04</w:t>
      </w:r>
      <w:r>
        <w:rPr>
          <w:rFonts w:ascii="IBM Plex Sans" w:hAnsi="IBM Plex Sans" w:cs="IBM Plex Sans"/>
          <w:b/>
          <w:color w:val="0B0E11"/>
          <w:sz w:val="21"/>
        </w:rPr>
        <w:t xml:space="preserve">   Autonomous System Risk Mitigation</w:t>
      </w:r>
    </w:p>
    <w:p>
      <w:pPr/>
      <w:r>
        <w:t>Critical infrastructure utilizing autonomous control systems (e.g., driverless transit, smart grids) shall implement safeguards to detect and contain unsafe or unexpected autonomous behavior.</w:t>
      </w:r>
    </w:p>
    <w:p>
      <w:pPr>
        <w:keepNext/>
        <w:spacing w:before="180"/>
      </w:pPr>
      <w:r>
        <w:rPr>
          <w:rFonts w:ascii="IBM Plex Mono" w:hAnsi="IBM Plex Mono" w:cs="IBM Plex Mono"/>
          <w:b/>
          <w:color w:val="0E8E66"/>
          <w:sz w:val="19"/>
        </w:rPr>
        <w:t>SCI-05</w:t>
      </w:r>
      <w:r>
        <w:rPr>
          <w:rFonts w:ascii="IBM Plex Sans" w:hAnsi="IBM Plex Sans" w:cs="IBM Plex Sans"/>
          <w:b/>
          <w:color w:val="0B0E11"/>
          <w:sz w:val="21"/>
        </w:rPr>
        <w:t xml:space="preserve">   Smart Infrastructure Cyber-Physical Resilience Testing</w:t>
      </w:r>
    </w:p>
    <w:p>
      <w:pPr/>
      <w:r>
        <w:t>Routine resilience testing shall be conducted to evaluate cyber-physical systems’ ability to maintain safety and operability under cyberattack scenarios, including loss of connectivity or data corruption.</w:t>
      </w:r>
    </w:p>
    <w:p>
      <w:pPr>
        <w:keepNext/>
        <w:spacing w:before="180"/>
      </w:pPr>
      <w:r>
        <w:rPr>
          <w:rFonts w:ascii="IBM Plex Mono" w:hAnsi="IBM Plex Mono" w:cs="IBM Plex Mono"/>
          <w:b/>
          <w:color w:val="0E8E66"/>
          <w:sz w:val="19"/>
        </w:rPr>
        <w:t>SCI-06</w:t>
      </w:r>
      <w:r>
        <w:rPr>
          <w:rFonts w:ascii="IBM Plex Sans" w:hAnsi="IBM Plex Sans" w:cs="IBM Plex Sans"/>
          <w:b/>
          <w:color w:val="0B0E11"/>
          <w:sz w:val="21"/>
        </w:rPr>
        <w:t xml:space="preserve">   Integrated Security for Public Service Platforms</w:t>
      </w:r>
    </w:p>
    <w:p>
      <w:pPr/>
      <w:r>
        <w:t>Smart city platforms delivering services (e.g., e-voting, public Wi-Fi, license renewals) shall be secured using multi-layered access control, input validation, and end-to-end encryption.</w:t>
      </w:r>
    </w:p>
    <w:p>
      <w:pPr>
        <w:keepNext/>
        <w:spacing w:before="180"/>
      </w:pPr>
      <w:r>
        <w:rPr>
          <w:rFonts w:ascii="IBM Plex Mono" w:hAnsi="IBM Plex Mono" w:cs="IBM Plex Mono"/>
          <w:b/>
          <w:color w:val="0E8E66"/>
          <w:sz w:val="19"/>
        </w:rPr>
        <w:t>SCI-07</w:t>
      </w:r>
      <w:r>
        <w:rPr>
          <w:rFonts w:ascii="IBM Plex Sans" w:hAnsi="IBM Plex Sans" w:cs="IBM Plex Sans"/>
          <w:b/>
          <w:color w:val="0B0E11"/>
          <w:sz w:val="21"/>
        </w:rPr>
        <w:t xml:space="preserve">   Emergency System Redundancy Planning</w:t>
      </w:r>
    </w:p>
    <w:p>
      <w:pPr/>
      <w:r>
        <w:t>Redundant communication and control systems shall be deployed for emergency infrastructure (e.g., 911, fire response, EMS dispatch) to ensure survivability under disruption or cyberattack.</w:t>
      </w:r>
    </w:p>
    <w:p>
      <w:pPr>
        <w:keepNext/>
        <w:spacing w:before="180"/>
      </w:pPr>
      <w:r>
        <w:rPr>
          <w:rFonts w:ascii="IBM Plex Mono" w:hAnsi="IBM Plex Mono" w:cs="IBM Plex Mono"/>
          <w:b/>
          <w:color w:val="0E8E66"/>
          <w:sz w:val="19"/>
        </w:rPr>
        <w:t>SCI-08</w:t>
      </w:r>
      <w:r>
        <w:rPr>
          <w:rFonts w:ascii="IBM Plex Sans" w:hAnsi="IBM Plex Sans" w:cs="IBM Plex Sans"/>
          <w:b/>
          <w:color w:val="0B0E11"/>
          <w:sz w:val="21"/>
        </w:rPr>
        <w:t xml:space="preserve">   Industrial IoT Device Security Zoning</w:t>
      </w:r>
    </w:p>
    <w:p>
      <w:pPr/>
      <w:r>
        <w:t>Critical industrial IoT (IIoT) components within smart city systems (e.g., power meters, valves, grid control units) shall be deployed in logically zoned network segments with controlled cross-zone access.</w:t>
      </w:r>
    </w:p>
    <w:p>
      <w:pPr>
        <w:keepNext/>
        <w:spacing w:before="180"/>
      </w:pPr>
      <w:r>
        <w:rPr>
          <w:rFonts w:ascii="IBM Plex Mono" w:hAnsi="IBM Plex Mono" w:cs="IBM Plex Mono"/>
          <w:b/>
          <w:color w:val="0E8E66"/>
          <w:sz w:val="19"/>
        </w:rPr>
        <w:t>SCI-09</w:t>
      </w:r>
      <w:r>
        <w:rPr>
          <w:rFonts w:ascii="IBM Plex Sans" w:hAnsi="IBM Plex Sans" w:cs="IBM Plex Sans"/>
          <w:b/>
          <w:color w:val="0B0E11"/>
          <w:sz w:val="21"/>
        </w:rPr>
        <w:t xml:space="preserve">   Vendor Ecosystem Criticality Assessments</w:t>
      </w:r>
    </w:p>
    <w:p>
      <w:pPr/>
      <w:r>
        <w:t>Third-party providers of smart city platforms or infrastructure services shall be assessed for their criticality, and higher-tier providers shall be subject to stricter cybersecurity and operational continuity requirements.</w:t>
      </w:r>
    </w:p>
    <w:p>
      <w:pPr>
        <w:keepNext/>
        <w:spacing w:before="180"/>
      </w:pPr>
      <w:r>
        <w:rPr>
          <w:rFonts w:ascii="IBM Plex Mono" w:hAnsi="IBM Plex Mono" w:cs="IBM Plex Mono"/>
          <w:b/>
          <w:color w:val="0E8E66"/>
          <w:sz w:val="19"/>
        </w:rPr>
        <w:t>SCI-10</w:t>
      </w:r>
      <w:r>
        <w:rPr>
          <w:rFonts w:ascii="IBM Plex Sans" w:hAnsi="IBM Plex Sans" w:cs="IBM Plex Sans"/>
          <w:b/>
          <w:color w:val="0B0E11"/>
          <w:sz w:val="21"/>
        </w:rPr>
        <w:t xml:space="preserve">   Operational Technology Incident Escalation Protocols</w:t>
      </w:r>
    </w:p>
    <w:p>
      <w:pPr/>
      <w:r>
        <w:t>City infrastructure systems using OT components shall define escalation paths and command handoff procedures in the event of detected cyber events or operational anomalies.</w:t>
      </w:r>
    </w:p>
    <w:p>
      <w:pPr>
        <w:keepNext/>
        <w:spacing w:before="180"/>
      </w:pPr>
      <w:r>
        <w:rPr>
          <w:rFonts w:ascii="IBM Plex Mono" w:hAnsi="IBM Plex Mono" w:cs="IBM Plex Mono"/>
          <w:b/>
          <w:color w:val="0E8E66"/>
          <w:sz w:val="19"/>
        </w:rPr>
        <w:t>SCI-11</w:t>
      </w:r>
      <w:r>
        <w:rPr>
          <w:rFonts w:ascii="IBM Plex Sans" w:hAnsi="IBM Plex Sans" w:cs="IBM Plex Sans"/>
          <w:b/>
          <w:color w:val="0B0E11"/>
          <w:sz w:val="21"/>
        </w:rPr>
        <w:t xml:space="preserve">   Secure Firmware Lifecycle for Field-Deployed Assets</w:t>
      </w:r>
    </w:p>
    <w:p>
      <w:pPr/>
      <w:r>
        <w:t>All field-deployed smart infrastructure (e.g., traffic lights, street sensors, SCADA endpoints) shall follow a secure firmware lifecycle including authenticated updates, rollback support, and update auditability.</w:t>
      </w:r>
    </w:p>
    <w:p>
      <w:pPr>
        <w:keepNext/>
        <w:spacing w:before="180"/>
      </w:pPr>
      <w:r>
        <w:rPr>
          <w:rFonts w:ascii="IBM Plex Mono" w:hAnsi="IBM Plex Mono" w:cs="IBM Plex Mono"/>
          <w:b/>
          <w:color w:val="0E8E66"/>
          <w:sz w:val="19"/>
        </w:rPr>
        <w:t>SCI-12</w:t>
      </w:r>
      <w:r>
        <w:rPr>
          <w:rFonts w:ascii="IBM Plex Sans" w:hAnsi="IBM Plex Sans" w:cs="IBM Plex Sans"/>
          <w:b/>
          <w:color w:val="0B0E11"/>
          <w:sz w:val="21"/>
        </w:rPr>
        <w:t xml:space="preserve">   Environmental Resilience Controls</w:t>
      </w:r>
    </w:p>
    <w:p>
      <w:pPr/>
      <w:r>
        <w:t>Smart city systems shall implement environmental safeguards (e.g., temperature, humidity, vibration sensors) to detect and respond to conditions that could degrade the integrity or availability of critical hardware.</w:t>
      </w:r>
    </w:p>
    <w:p>
      <w:pPr>
        <w:keepNext/>
        <w:spacing w:before="180"/>
      </w:pPr>
      <w:r>
        <w:rPr>
          <w:rFonts w:ascii="IBM Plex Mono" w:hAnsi="IBM Plex Mono" w:cs="IBM Plex Mono"/>
          <w:b/>
          <w:color w:val="0E8E66"/>
          <w:sz w:val="19"/>
        </w:rPr>
        <w:t>SCI-13</w:t>
      </w:r>
      <w:r>
        <w:rPr>
          <w:rFonts w:ascii="IBM Plex Sans" w:hAnsi="IBM Plex Sans" w:cs="IBM Plex Sans"/>
          <w:b/>
          <w:color w:val="0B0E11"/>
          <w:sz w:val="21"/>
        </w:rPr>
        <w:t xml:space="preserve">   Geospatial System Access Restrictions</w:t>
      </w:r>
    </w:p>
    <w:p>
      <w:pPr/>
      <w:r>
        <w:t>Geospatial and GIS systems shall be protected from unauthorized access and manipulation, particularly when used to inform emergency response, zoning, or transportation routing.</w:t>
      </w:r>
    </w:p>
    <w:p>
      <w:pPr>
        <w:keepNext/>
        <w:spacing w:before="180"/>
      </w:pPr>
      <w:r>
        <w:rPr>
          <w:rFonts w:ascii="IBM Plex Mono" w:hAnsi="IBM Plex Mono" w:cs="IBM Plex Mono"/>
          <w:b/>
          <w:color w:val="0E8E66"/>
          <w:sz w:val="19"/>
        </w:rPr>
        <w:t>SCI-14</w:t>
      </w:r>
      <w:r>
        <w:rPr>
          <w:rFonts w:ascii="IBM Plex Sans" w:hAnsi="IBM Plex Sans" w:cs="IBM Plex Sans"/>
          <w:b/>
          <w:color w:val="0B0E11"/>
          <w:sz w:val="21"/>
        </w:rPr>
        <w:t xml:space="preserve">   Physical-Cyber Coordination Plans</w:t>
      </w:r>
    </w:p>
    <w:p>
      <w:pPr/>
      <w:r>
        <w:t>Incident response plans shall integrate physical and cyber considerations for city assets such as smart traffic controls, utility substations, or public surveillance systems.</w:t>
      </w:r>
    </w:p>
    <w:p>
      <w:pPr>
        <w:keepNext/>
        <w:spacing w:before="180"/>
      </w:pPr>
      <w:r>
        <w:rPr>
          <w:rFonts w:ascii="IBM Plex Mono" w:hAnsi="IBM Plex Mono" w:cs="IBM Plex Mono"/>
          <w:b/>
          <w:color w:val="0E8E66"/>
          <w:sz w:val="19"/>
        </w:rPr>
        <w:t>SCI-15</w:t>
      </w:r>
      <w:r>
        <w:rPr>
          <w:rFonts w:ascii="IBM Plex Sans" w:hAnsi="IBM Plex Sans" w:cs="IBM Plex Sans"/>
          <w:b/>
          <w:color w:val="0B0E11"/>
          <w:sz w:val="21"/>
        </w:rPr>
        <w:t xml:space="preserve">   Public-Facing Interface Security Controls</w:t>
      </w:r>
    </w:p>
    <w:p>
      <w:pPr/>
      <w:r>
        <w:t>All public-facing smart city interfaces (e.g., kiosks, mobile apps, digital signage) shall be hardened against tampering, malware injection, and exploitation of embedded operating systems.</w:t>
      </w:r>
    </w:p>
    <w:p>
      <w:pPr>
        <w:keepNext/>
        <w:spacing w:before="180"/>
      </w:pPr>
      <w:r>
        <w:rPr>
          <w:rFonts w:ascii="IBM Plex Mono" w:hAnsi="IBM Plex Mono" w:cs="IBM Plex Mono"/>
          <w:b/>
          <w:color w:val="0E8E66"/>
          <w:sz w:val="19"/>
        </w:rPr>
        <w:t>SCI-16</w:t>
      </w:r>
      <w:r>
        <w:rPr>
          <w:rFonts w:ascii="IBM Plex Sans" w:hAnsi="IBM Plex Sans" w:cs="IBM Plex Sans"/>
          <w:b/>
          <w:color w:val="0B0E11"/>
          <w:sz w:val="21"/>
        </w:rPr>
        <w:t xml:space="preserve">   Time Synchronization Across Critical Infrastructure</w:t>
      </w:r>
    </w:p>
    <w:p>
      <w:pPr/>
      <w:r>
        <w:t>All components of critical smart infrastructure shall use authenticated, tamper-resistant time sources to ensure synchronization for event correlation, audit trails, and safety operations.</w:t>
      </w:r>
    </w:p>
    <w:p>
      <w:pPr>
        <w:keepNext/>
        <w:spacing w:before="180"/>
      </w:pPr>
      <w:r>
        <w:rPr>
          <w:rFonts w:ascii="IBM Plex Mono" w:hAnsi="IBM Plex Mono" w:cs="IBM Plex Mono"/>
          <w:b/>
          <w:color w:val="0E8E66"/>
          <w:sz w:val="19"/>
        </w:rPr>
        <w:t>SCI-17</w:t>
      </w:r>
      <w:r>
        <w:rPr>
          <w:rFonts w:ascii="IBM Plex Sans" w:hAnsi="IBM Plex Sans" w:cs="IBM Plex Sans"/>
          <w:b/>
          <w:color w:val="0B0E11"/>
          <w:sz w:val="21"/>
        </w:rPr>
        <w:t xml:space="preserve">   Citizen Data Usage Transparency Controls</w:t>
      </w:r>
    </w:p>
    <w:p>
      <w:pPr/>
      <w:r>
        <w:t>Data collected from citizens through smart infrastructure (e.g., smart meters, city apps, public transport systems) shall include explicit use notices, opt-out mechanisms, and retention policies.</w:t>
      </w:r>
    </w:p>
    <w:p>
      <w:pPr>
        <w:keepNext/>
        <w:spacing w:before="180"/>
      </w:pPr>
      <w:r>
        <w:rPr>
          <w:rFonts w:ascii="IBM Plex Mono" w:hAnsi="IBM Plex Mono" w:cs="IBM Plex Mono"/>
          <w:b/>
          <w:color w:val="0E8E66"/>
          <w:sz w:val="19"/>
        </w:rPr>
        <w:t>SCI-18</w:t>
      </w:r>
      <w:r>
        <w:rPr>
          <w:rFonts w:ascii="IBM Plex Sans" w:hAnsi="IBM Plex Sans" w:cs="IBM Plex Sans"/>
          <w:b/>
          <w:color w:val="0B0E11"/>
          <w:sz w:val="21"/>
        </w:rPr>
        <w:t xml:space="preserve">   Autonomous Public Safety System Supervision</w:t>
      </w:r>
    </w:p>
    <w:p>
      <w:pPr/>
      <w:r>
        <w:t>Systems such as AI-assisted surveillance, gunshot detection, or predictive policing analytics shall include manual override capabilities and human-in-the-loop supervision.</w:t>
      </w:r>
    </w:p>
    <w:p>
      <w:pPr>
        <w:keepNext/>
        <w:spacing w:before="180"/>
      </w:pPr>
      <w:r>
        <w:rPr>
          <w:rFonts w:ascii="IBM Plex Mono" w:hAnsi="IBM Plex Mono" w:cs="IBM Plex Mono"/>
          <w:b/>
          <w:color w:val="0E8E66"/>
          <w:sz w:val="19"/>
        </w:rPr>
        <w:t>SCI-19</w:t>
      </w:r>
      <w:r>
        <w:rPr>
          <w:rFonts w:ascii="IBM Plex Sans" w:hAnsi="IBM Plex Sans" w:cs="IBM Plex Sans"/>
          <w:b/>
          <w:color w:val="0B0E11"/>
          <w:sz w:val="21"/>
        </w:rPr>
        <w:t xml:space="preserve">   Legacy Infrastructure Integration Safeguards</w:t>
      </w:r>
    </w:p>
    <w:p>
      <w:pPr/>
      <w:r>
        <w:t>Controls shall be implemented to isolate and protect legacy systems (e.g., water treatment ICS, legacy rail controls) when integrated into modern smart city environments.</w:t>
      </w:r>
    </w:p>
    <w:p>
      <w:pPr>
        <w:keepNext/>
        <w:spacing w:before="180"/>
      </w:pPr>
      <w:r>
        <w:rPr>
          <w:rFonts w:ascii="IBM Plex Mono" w:hAnsi="IBM Plex Mono" w:cs="IBM Plex Mono"/>
          <w:b/>
          <w:color w:val="0E8E66"/>
          <w:sz w:val="19"/>
        </w:rPr>
        <w:t>SCI-20</w:t>
      </w:r>
      <w:r>
        <w:rPr>
          <w:rFonts w:ascii="IBM Plex Sans" w:hAnsi="IBM Plex Sans" w:cs="IBM Plex Sans"/>
          <w:b/>
          <w:color w:val="0B0E11"/>
          <w:sz w:val="21"/>
        </w:rPr>
        <w:t xml:space="preserve">   Threat Intelligence Sharing with Civic Partners</w:t>
      </w:r>
    </w:p>
    <w:p>
      <w:pPr/>
      <w:r>
        <w:t>Smart city governance bodies shall participate in local, regional, and national threat intelligence sharing programs to enhance preparedness and resilience across the broader urban ecosystem.</w:t>
      </w:r>
    </w:p>
    <w:p>
      <w:pPr>
        <w:keepNext/>
        <w:spacing w:before="180"/>
      </w:pPr>
      <w:r>
        <w:rPr>
          <w:rFonts w:ascii="IBM Plex Mono" w:hAnsi="IBM Plex Mono" w:cs="IBM Plex Mono"/>
          <w:b/>
          <w:color w:val="0E8E66"/>
          <w:sz w:val="19"/>
        </w:rPr>
        <w:t>SCI-21</w:t>
      </w:r>
      <w:r>
        <w:rPr>
          <w:rFonts w:ascii="IBM Plex Sans" w:hAnsi="IBM Plex Sans" w:cs="IBM Plex Sans"/>
          <w:b/>
          <w:color w:val="0B0E11"/>
          <w:sz w:val="21"/>
        </w:rPr>
        <w:t xml:space="preserve">   Inter-Agency Cyber Crisis Simulation Exercises</w:t>
      </w:r>
    </w:p>
    <w:p>
      <w:pPr/>
      <w:r>
        <w:t>Cities shall conduct regular cyber crisis simulations involving all relevant agencies, departments, and infrastructure operators to validate coordinated response capabilities and recovery procedures.</w:t>
      </w:r>
    </w:p>
    <w:p>
      <w:pPr>
        <w:keepNext/>
        <w:spacing w:before="180"/>
      </w:pPr>
      <w:r>
        <w:rPr>
          <w:rFonts w:ascii="IBM Plex Mono" w:hAnsi="IBM Plex Mono" w:cs="IBM Plex Mono"/>
          <w:b/>
          <w:color w:val="0E8E66"/>
          <w:sz w:val="19"/>
        </w:rPr>
        <w:t>SCI-22</w:t>
      </w:r>
      <w:r>
        <w:rPr>
          <w:rFonts w:ascii="IBM Plex Sans" w:hAnsi="IBM Plex Sans" w:cs="IBM Plex Sans"/>
          <w:b/>
          <w:color w:val="0B0E11"/>
          <w:sz w:val="21"/>
        </w:rPr>
        <w:t xml:space="preserve">   Critical Infrastructure Resource Prioritization Matrix</w:t>
      </w:r>
    </w:p>
    <w:p>
      <w:pPr/>
      <w:r>
        <w:t>A prioritization matrix shall be maintained to identify which assets or services receive resource preference during emergency conditions or cyber-induced operational degradation.</w:t>
      </w:r>
    </w:p>
    <w:sectPr w:rsidR="00FC693F" w:rsidRPr="0006063C" w:rsidSect="00034616">
      <w:headerReference w:type="default" r:id="rId9"/>
      <w:footerReference w:type="default" r:id="rId10"/>
      <w:pgSz w:w="12240" w:h="15840"/>
      <w:pgMar w:top="1320" w:right="1440" w:bottom="12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ora">
    <w:charset w:val="00"/>
    <w:family w:val="swiss"/>
    <w:pitch w:val="variable"/>
    <w:embedRegular r:id="rId1" w:fontKey="{B39C7409-F347-47A9-8527-C0D0E1A77925}"/>
    <w:embedBold r:id="rId2" w:fontKey="{0DBA5A99-AAF0-4F09-8221-0755449A4FB5}"/>
  </w:font>
  <w:font w:name="IBM Plex Sans">
    <w:charset w:val="00"/>
    <w:family w:val="swiss"/>
    <w:pitch w:val="variable"/>
    <w:embedRegular r:id="rId3" w:fontKey="{C0AFB6C4-0096-4FA0-AAD9-FA4EF01E70D9}"/>
    <w:embedBold r:id="rId4" w:fontKey="{707D961D-8932-481D-8F38-42D0EA578034}"/>
  </w:font>
  <w:font w:name="IBM Plex Mono">
    <w:charset w:val="00"/>
    <w:family w:val="modern"/>
    <w:pitch w:val="fixed"/>
    <w:embedRegular r:id="rId5" w:fontKey="{8FAEA3C6-B815-4DEE-9BF7-595C11E29293}"/>
    <w:embedBold r:id="rId6" w:fontKey="{CAF8B839-F2E9-4995-B3A6-8D281F57E65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tabs>
        <w:tab w:pos="9360" w:val="right"/>
      </w:tabs>
    </w:pPr>
    <w:r>
      <w:rPr>
        <w:rFonts w:ascii="IBM Plex Mono" w:hAnsi="IBM Plex Mono" w:cs="IBM Plex Mono"/>
        <w:caps/>
        <w:color w:val="6B7680"/>
        <w:sz w:val="16"/>
      </w:rPr>
      <w:t>TIM D. TIPTON JR.  ·  THE CYBER ALCHEMIST</w:t>
    </w:r>
    <w:r>
      <w:rPr>
        <w:rFonts w:ascii="IBM Plex Mono" w:hAnsi="IBM Plex Mono" w:cs="IBM Plex Mono"/>
      </w:rPr>
      <w:tab/>
    </w:r>
    <w:r>
      <w:rPr>
        <w:rFonts w:ascii="IBM Plex Mono" w:hAnsi="IBM Plex Mono" w:cs="IBM Plex Mono"/>
        <w:caps/>
        <w:color w:val="6B7680"/>
        <w:sz w:val="16"/>
      </w:rPr>
      <w:t>SCOPE FRAMEWORK  ·  CYBER-PHYSICAL &amp; DISTRIBUTED SYSTEMS SECURITY v1.0</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RunHead"/>
      <w:pBdr>
        <w:bottom w:val="single" w:sz="4" w:space="3" w:color="E3E3DC"/>
      </w:pBdr>
      <w:tabs>
        <w:tab w:pos="9360" w:val="right"/>
      </w:tabs>
    </w:pPr>
    <w:r>
      <w:drawing>
        <wp:anchor distT="0" distB="0" distL="0" distR="0" simplePos="0" relativeHeight="0" behindDoc="1" locked="0" layoutInCell="0" allowOverlap="1">
          <wp:simplePos x="0" y="0"/>
          <wp:positionH relativeFrom="page">
            <wp:posOffset>0</wp:posOffset>
          </wp:positionH>
          <wp:positionV relativeFrom="page">
            <wp:posOffset>0</wp:posOffset>
          </wp:positionV>
          <wp:extent cx="7772400" cy="10058400"/>
          <wp:effectExtent l="0" t="0" r="0" b="0"/>
          <wp:wrapNone/>
          <wp:docPr id="202" name="BenchPaper" descr="Warm off-white interior background"/>
          <wp:cNvGraphicFramePr>
            <a:graphicFrameLocks xmlns:a="http://schemas.openxmlformats.org/drawingml/2006/main" noChangeAspect="0"/>
          </wp:cNvGraphicFramePr>
          <a:graphic xmlns:a="http://schemas.openxmlformats.org/drawingml/2006/main">
            <a:graphicData uri="http://schemas.openxmlformats.org/drawingml/2006/picture">
              <pic:pic xmlns:pic="http://schemas.openxmlformats.org/drawingml/2006/picture">
                <pic:nvPicPr>
                  <pic:cNvPr id="202" name="BenchPaper" descr="Warm off-white interior background"/>
                  <pic:cNvPicPr/>
                </pic:nvPicPr>
                <pic:blipFill>
                  <a:blip r:embed="rId1"/>
                  <a:stretch>
                    <a:fillRect/>
                  </a:stretch>
                </pic:blipFill>
                <pic:spPr>
                  <a:xfrm>
                    <a:off x="0" y="0"/>
                    <a:ext cx="7772400" cy="10058400"/>
                  </a:xfrm>
                  <a:prstGeom prst="rect">
                    <a:avLst/>
                  </a:prstGeom>
                </pic:spPr>
              </pic:pic>
            </a:graphicData>
          </a:graphic>
        </wp:anchor>
      </w:drawing>
    </w:r>
    <w:r/>
    <w:r>
      <w:rPr>
        <w:rFonts w:ascii="IBM Plex Mono" w:hAnsi="IBM Plex Mono" w:cs="IBM Plex Mono"/>
        <w:caps/>
        <w:color w:val="6B7680"/>
        <w:sz w:val="16"/>
      </w:rPr>
      <w:t>The Cyber Alchemist  ·  SCOPE Framework</w:t>
    </w:r>
    <w:r>
      <w:rPr>
        <w:rFonts w:ascii="IBM Plex Mono" w:hAnsi="IBM Plex Mono" w:cs="IBM Plex Mono"/>
      </w:rPr>
      <w:tab/>
    </w:r>
    <w:r>
      <w:rPr>
        <w:rFonts w:ascii="IBM Plex Mono" w:hAnsi="IBM Plex Mono" w:cs="IBM Plex Mono"/>
        <w:caps/>
        <w:color w:val="6B7680"/>
        <w:sz w:val="16"/>
      </w:rPr>
      <w:t>Cyber-Physical &amp; Distributed Systems Security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embedTrueTypeFonts/>
  <w:embedSystemFonts/>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48" w:lineRule="auto" w:after="160"/>
    </w:pPr>
    <w:rPr>
      <w:rFonts w:ascii="IBM Plex Sans" w:hAnsi="IBM Plex Sans" w:cs="IBM Plex Sans"/>
      <w:color w:val="0B0E11"/>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00" w:line="252" w:lineRule="auto"/>
      <w:outlineLvl w:val="0"/>
    </w:pPr>
    <w:rPr>
      <w:rFonts w:asciiTheme="majorHAnsi" w:eastAsiaTheme="majorEastAsia" w:hAnsiTheme="majorHAnsi" w:cstheme="majorBidi" w:ascii="Sora" w:hAnsi="Sora" w:cs="Sora"/>
      <w:b w:val="0"/>
      <w:bCs/>
      <w:color w:val="0B0E11"/>
      <w:sz w:val="32"/>
      <w:szCs w:val="28"/>
    </w:rPr>
  </w:style>
  <w:style w:type="paragraph" w:styleId="Heading2">
    <w:name w:val="heading 2"/>
    <w:basedOn w:val="Normal"/>
    <w:next w:val="Normal"/>
    <w:link w:val="Heading2Char"/>
    <w:uiPriority w:val="9"/>
    <w:unhideWhenUsed/>
    <w:qFormat/>
    <w:rsid w:val="00FC693F"/>
    <w:pPr>
      <w:keepNext/>
      <w:keepLines/>
      <w:spacing w:before="200" w:after="60" w:line="252" w:lineRule="auto"/>
      <w:outlineLvl w:val="1"/>
    </w:pPr>
    <w:rPr>
      <w:rFonts w:asciiTheme="majorHAnsi" w:eastAsiaTheme="majorEastAsia" w:hAnsiTheme="majorHAnsi" w:cstheme="majorBidi" w:ascii="Sora" w:hAnsi="Sora" w:cs="Sora"/>
      <w:b w:val="0"/>
      <w:bCs/>
      <w:color w:val="0B0E1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60"/>
      <w:contextualSpacing/>
    </w:pPr>
    <w:rPr>
      <w:rFonts w:ascii="IBM Plex Sans" w:hAnsi="IBM Plex Sans" w:cs="IBM Plex Sans"/>
      <w:color w:val="3A444C"/>
      <w:sz w:val="20"/>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Kicker">
    <w:name w:val="CoverKicker"/>
    <w:basedOn w:val="Normal"/>
    <w:pPr>
      <w:spacing w:before="0" w:after="120" w:line="312" w:lineRule="auto"/>
    </w:pPr>
    <w:rPr>
      <w:rFonts w:ascii="IBM Plex Mono" w:hAnsi="IBM Plex Mono" w:cs="IBM Plex Mono"/>
      <w:b w:val="0"/>
      <w:caps/>
      <w:color w:val="21E0A0"/>
      <w:spacing w:val="40"/>
      <w:sz w:val="18"/>
    </w:rPr>
  </w:style>
  <w:style w:type="paragraph" w:customStyle="1" w:styleId="CoverTitle">
    <w:name w:val="CoverTitle"/>
    <w:basedOn w:val="Normal"/>
    <w:pPr>
      <w:spacing w:before="0" w:after="200" w:line="245" w:lineRule="auto"/>
    </w:pPr>
    <w:rPr>
      <w:rFonts w:ascii="Sora" w:hAnsi="Sora" w:cs="Sora"/>
      <w:b/>
      <w:color w:val="EAF0F2"/>
      <w:sz w:val="74"/>
    </w:rPr>
  </w:style>
  <w:style w:type="paragraph" w:customStyle="1" w:styleId="CoverDeck">
    <w:name w:val="CoverDeck"/>
    <w:basedOn w:val="Normal"/>
    <w:pPr>
      <w:spacing w:before="0" w:after="160" w:line="360" w:lineRule="auto"/>
    </w:pPr>
    <w:rPr>
      <w:rFonts w:ascii="IBM Plex Sans" w:hAnsi="IBM Plex Sans" w:cs="IBM Plex Sans"/>
      <w:b w:val="0"/>
      <w:color w:val="8FA0AB"/>
      <w:sz w:val="24"/>
    </w:rPr>
  </w:style>
  <w:style w:type="paragraph" w:customStyle="1" w:styleId="CoverAttrib">
    <w:name w:val="CoverAttrib"/>
    <w:basedOn w:val="Normal"/>
    <w:pPr>
      <w:spacing w:before="200" w:after="120" w:line="312" w:lineRule="auto"/>
    </w:pPr>
    <w:rPr>
      <w:rFonts w:ascii="IBM Plex Mono" w:hAnsi="IBM Plex Mono" w:cs="IBM Plex Mono"/>
      <w:b w:val="0"/>
      <w:color w:val="5A6B75"/>
      <w:spacing w:val="20"/>
      <w:sz w:val="19"/>
    </w:rPr>
  </w:style>
  <w:style w:type="paragraph" w:customStyle="1" w:styleId="WordMark">
    <w:name w:val="WordMark"/>
    <w:basedOn w:val="Normal"/>
    <w:pPr>
      <w:spacing w:before="0" w:after="0" w:line="264" w:lineRule="auto"/>
    </w:pPr>
    <w:rPr>
      <w:rFonts w:ascii="IBM Plex Mono" w:hAnsi="IBM Plex Mono" w:cs="IBM Plex Mono"/>
      <w:b w:val="0"/>
      <w:caps/>
      <w:color w:val="EAF0F2"/>
      <w:spacing w:val="26"/>
      <w:sz w:val="22"/>
    </w:rPr>
  </w:style>
  <w:style w:type="paragraph" w:customStyle="1" w:styleId="TileIdx">
    <w:name w:val="TileIdx"/>
    <w:basedOn w:val="Normal"/>
    <w:pPr>
      <w:spacing w:before="0" w:after="0" w:line="240" w:lineRule="auto"/>
    </w:pPr>
    <w:rPr>
      <w:rFonts w:ascii="IBM Plex Mono" w:hAnsi="IBM Plex Mono" w:cs="IBM Plex Mono"/>
      <w:b w:val="0"/>
      <w:color w:val="5A6B75"/>
      <w:spacing w:val="16"/>
      <w:sz w:val="15"/>
    </w:rPr>
  </w:style>
  <w:style w:type="paragraph" w:customStyle="1" w:styleId="TileSym">
    <w:name w:val="TileSym"/>
    <w:basedOn w:val="Normal"/>
    <w:pPr>
      <w:spacing w:before="0" w:after="0" w:line="240" w:lineRule="auto"/>
    </w:pPr>
    <w:rPr>
      <w:rFonts w:ascii="Sora" w:hAnsi="Sora" w:cs="Sora"/>
      <w:b/>
      <w:color w:val="EAF0F2"/>
      <w:sz w:val="42"/>
    </w:rPr>
  </w:style>
  <w:style w:type="paragraph" w:customStyle="1" w:styleId="TileName">
    <w:name w:val="TileName"/>
    <w:basedOn w:val="Normal"/>
    <w:pPr>
      <w:spacing w:before="80" w:after="0" w:line="240" w:lineRule="auto"/>
    </w:pPr>
    <w:rPr>
      <w:rFonts w:ascii="IBM Plex Mono" w:hAnsi="IBM Plex Mono" w:cs="IBM Plex Mono"/>
      <w:b w:val="0"/>
      <w:caps/>
      <w:color w:val="8FA0AB"/>
      <w:spacing w:val="26"/>
      <w:sz w:val="15"/>
    </w:rPr>
  </w:style>
  <w:style w:type="paragraph" w:customStyle="1" w:styleId="TileIdxG">
    <w:name w:val="TileIdxG"/>
    <w:basedOn w:val="Normal"/>
    <w:pPr>
      <w:spacing w:before="0" w:after="0" w:line="240" w:lineRule="auto"/>
    </w:pPr>
    <w:rPr>
      <w:rFonts w:ascii="IBM Plex Mono" w:hAnsi="IBM Plex Mono" w:cs="IBM Plex Mono"/>
      <w:b w:val="0"/>
      <w:color w:val="E9BD55"/>
      <w:spacing w:val="16"/>
      <w:sz w:val="15"/>
    </w:rPr>
  </w:style>
  <w:style w:type="paragraph" w:customStyle="1" w:styleId="TileSymG">
    <w:name w:val="TileSymG"/>
    <w:basedOn w:val="Normal"/>
    <w:pPr>
      <w:spacing w:before="0" w:after="0" w:line="240" w:lineRule="auto"/>
    </w:pPr>
    <w:rPr>
      <w:rFonts w:ascii="Sora" w:hAnsi="Sora" w:cs="Sora"/>
      <w:b/>
      <w:color w:val="FBE08F"/>
      <w:sz w:val="42"/>
    </w:rPr>
  </w:style>
  <w:style w:type="paragraph" w:customStyle="1" w:styleId="TileNameG">
    <w:name w:val="TileNameG"/>
    <w:basedOn w:val="Normal"/>
    <w:pPr>
      <w:spacing w:before="80" w:after="0" w:line="240" w:lineRule="auto"/>
    </w:pPr>
    <w:rPr>
      <w:rFonts w:ascii="IBM Plex Mono" w:hAnsi="IBM Plex Mono" w:cs="IBM Plex Mono"/>
      <w:b w:val="0"/>
      <w:caps/>
      <w:color w:val="E9BD55"/>
      <w:spacing w:val="26"/>
      <w:sz w:val="15"/>
    </w:rPr>
  </w:style>
  <w:style w:type="paragraph" w:customStyle="1" w:styleId="SchemeCap">
    <w:name w:val="SchemeCap"/>
    <w:basedOn w:val="Normal"/>
    <w:pPr>
      <w:spacing w:before="160" w:after="80" w:line="336" w:lineRule="auto"/>
    </w:pPr>
    <w:rPr>
      <w:rFonts w:ascii="IBM Plex Mono" w:hAnsi="IBM Plex Mono" w:cs="IBM Plex Mono"/>
      <w:b w:val="0"/>
      <w:caps/>
      <w:color w:val="5A6B75"/>
      <w:spacing w:val="24"/>
      <w:sz w:val="16"/>
    </w:rPr>
  </w:style>
  <w:style w:type="paragraph" w:customStyle="1" w:styleId="SigilTxt">
    <w:name w:val="SigilTxt"/>
    <w:basedOn w:val="Normal"/>
    <w:pPr>
      <w:spacing w:before="0" w:after="0" w:line="240" w:lineRule="auto"/>
      <w:jc w:val="center"/>
    </w:pPr>
    <w:rPr>
      <w:rFonts w:ascii="IBM Plex Mono" w:hAnsi="IBM Plex Mono" w:cs="IBM Plex Mono"/>
      <w:b/>
      <w:color w:val="FBE08F"/>
      <w:sz w:val="26"/>
    </w:rPr>
  </w:style>
  <w:style w:type="paragraph" w:customStyle="1" w:styleId="Kicker">
    <w:name w:val="Kicker"/>
    <w:basedOn w:val="Normal"/>
    <w:pPr>
      <w:spacing w:before="280" w:after="60" w:line="312" w:lineRule="auto"/>
    </w:pPr>
    <w:rPr>
      <w:rFonts w:ascii="IBM Plex Mono" w:hAnsi="IBM Plex Mono" w:cs="IBM Plex Mono"/>
      <w:b w:val="0"/>
      <w:caps/>
      <w:color w:val="0E8E66"/>
      <w:spacing w:val="34"/>
      <w:sz w:val="17"/>
    </w:rPr>
  </w:style>
  <w:style w:type="paragraph" w:customStyle="1" w:styleId="Deck">
    <w:name w:val="Deck"/>
    <w:basedOn w:val="Normal"/>
    <w:pPr>
      <w:spacing w:before="0" w:after="120" w:line="360" w:lineRule="auto"/>
    </w:pPr>
    <w:rPr>
      <w:rFonts w:ascii="IBM Plex Sans" w:hAnsi="IBM Plex Sans" w:cs="IBM Plex Sans"/>
      <w:b w:val="0"/>
      <w:color w:val="3A444C"/>
      <w:sz w:val="25"/>
    </w:rPr>
  </w:style>
  <w:style w:type="paragraph" w:customStyle="1" w:styleId="FieldLabel">
    <w:name w:val="FieldLabel"/>
    <w:basedOn w:val="Normal"/>
    <w:pPr>
      <w:spacing w:before="80" w:after="40" w:line="312" w:lineRule="auto"/>
    </w:pPr>
    <w:rPr>
      <w:rFonts w:ascii="IBM Plex Mono" w:hAnsi="IBM Plex Mono" w:cs="IBM Plex Mono"/>
      <w:b w:val="0"/>
      <w:caps/>
      <w:color w:val="6B7680"/>
      <w:spacing w:val="24"/>
      <w:sz w:val="16"/>
    </w:rPr>
  </w:style>
  <w:style w:type="paragraph" w:customStyle="1" w:styleId="Attrib2">
    <w:name w:val="Attrib2"/>
    <w:basedOn w:val="Normal"/>
    <w:pPr>
      <w:spacing w:before="0" w:after="80" w:line="312" w:lineRule="auto"/>
    </w:pPr>
    <w:rPr>
      <w:rFonts w:ascii="IBM Plex Mono" w:hAnsi="IBM Plex Mono" w:cs="IBM Plex Mono"/>
      <w:b w:val="0"/>
      <w:color w:val="6B7680"/>
      <w:spacing w:val="16"/>
      <w:sz w:val="16"/>
    </w:rPr>
  </w:style>
  <w:style w:type="paragraph" w:customStyle="1" w:styleId="Badge">
    <w:name w:val="Badge"/>
    <w:basedOn w:val="Normal"/>
    <w:pPr>
      <w:spacing w:before="40" w:after="80" w:line="312" w:lineRule="auto"/>
    </w:pPr>
    <w:rPr>
      <w:rFonts w:ascii="IBM Plex Mono" w:hAnsi="IBM Plex Mono" w:cs="IBM Plex Mono"/>
      <w:b w:val="0"/>
      <w:caps/>
      <w:color w:val="3A444C"/>
      <w:spacing w:val="22"/>
      <w:sz w:val="17"/>
    </w:rPr>
  </w:style>
  <w:style w:type="paragraph" w:customStyle="1" w:styleId="HeadCellTxt">
    <w:name w:val="HeadCellTxt"/>
    <w:basedOn w:val="Normal"/>
    <w:pPr>
      <w:spacing w:before="0" w:after="0" w:line="312" w:lineRule="auto"/>
    </w:pPr>
    <w:rPr>
      <w:rFonts w:ascii="IBM Plex Mono" w:hAnsi="IBM Plex Mono" w:cs="IBM Plex Mono"/>
      <w:b w:val="0"/>
      <w:caps/>
      <w:color w:val="6B7680"/>
      <w:spacing w:val="22"/>
      <w:sz w:val="16"/>
    </w:rPr>
  </w:style>
  <w:style w:type="paragraph" w:customStyle="1" w:styleId="CellTxt">
    <w:name w:val="CellTxt"/>
    <w:basedOn w:val="Normal"/>
    <w:pPr>
      <w:spacing w:before="0" w:after="0" w:line="312" w:lineRule="auto"/>
    </w:pPr>
    <w:rPr>
      <w:rFonts w:ascii="IBM Plex Sans" w:hAnsi="IBM Plex Sans" w:cs="IBM Plex Sans"/>
      <w:b w:val="0"/>
      <w:color w:val="0B0E11"/>
      <w:sz w:val="20"/>
    </w:rPr>
  </w:style>
  <w:style w:type="paragraph" w:customStyle="1" w:styleId="Placeholder">
    <w:name w:val="Placeholder"/>
    <w:basedOn w:val="Normal"/>
    <w:pPr>
      <w:spacing w:before="0" w:after="0" w:line="312" w:lineRule="auto"/>
    </w:pPr>
    <w:rPr>
      <w:rFonts w:ascii="IBM Plex Sans" w:hAnsi="IBM Plex Sans" w:cs="IBM Plex Sans"/>
      <w:b w:val="0"/>
      <w:color w:val="6B7680"/>
      <w:sz w:val="20"/>
    </w:rPr>
  </w:style>
  <w:style w:type="paragraph" w:customStyle="1" w:styleId="RunHead">
    <w:name w:val="RunHead"/>
    <w:basedOn w:val="Normal"/>
    <w:pPr>
      <w:spacing w:before="0" w:after="0" w:line="312" w:lineRule="auto"/>
    </w:pPr>
    <w:rPr>
      <w:rFonts w:ascii="IBM Plex Mono" w:hAnsi="IBM Plex Mono" w:cs="IBM Plex Mono"/>
      <w:b w:val="0"/>
      <w:caps/>
      <w:color w:val="6B7680"/>
      <w:spacing w:val="16"/>
      <w:sz w:val="16"/>
    </w:rPr>
  </w:style>
  <w:style w:type="paragraph" w:customStyle="1" w:styleId="TierName">
    <w:name w:val="TierName"/>
    <w:basedOn w:val="Normal"/>
    <w:pPr>
      <w:spacing w:before="80" w:after="40" w:line="252" w:lineRule="auto"/>
    </w:pPr>
    <w:rPr>
      <w:rFonts w:ascii="Sora" w:hAnsi="Sora" w:cs="Sora"/>
      <w:b w:val="0"/>
      <w:color w:val="0B0E11"/>
      <w:sz w:val="30"/>
    </w:rPr>
  </w:style>
  <w:style w:type="paragraph" w:customStyle="1" w:styleId="MiniLabel">
    <w:name w:val="MiniLabel"/>
    <w:basedOn w:val="Normal"/>
    <w:pPr>
      <w:spacing w:before="120" w:after="40" w:line="312" w:lineRule="auto"/>
    </w:pPr>
    <w:rPr>
      <w:rFonts w:ascii="IBM Plex Mono" w:hAnsi="IBM Plex Mono" w:cs="IBM Plex Mono"/>
      <w:b w:val="0"/>
      <w:caps/>
      <w:color w:val="0E8E66"/>
      <w:spacing w:val="22"/>
      <w:sz w:val="16"/>
    </w:rPr>
  </w:style>
  <w:style w:type="paragraph" w:customStyle="1" w:styleId="BoxText">
    <w:name w:val="BoxText"/>
    <w:basedOn w:val="Normal"/>
    <w:pPr>
      <w:spacing w:before="0" w:after="0" w:line="336" w:lineRule="auto"/>
    </w:pPr>
    <w:rPr>
      <w:rFonts w:ascii="IBM Plex Sans" w:hAnsi="IBM Plex Sans" w:cs="IBM Plex Sans"/>
      <w:b w:val="0"/>
      <w:color w:val="0B0E11"/>
      <w:sz w:val="20"/>
    </w:rPr>
  </w:style>
  <w:style w:type="paragraph" w:customStyle="1" w:styleId="BoxPlaceholder">
    <w:name w:val="BoxPlaceholder"/>
    <w:basedOn w:val="Normal"/>
    <w:pPr>
      <w:spacing w:before="0" w:after="0" w:line="336" w:lineRule="auto"/>
    </w:pPr>
    <w:rPr>
      <w:rFonts w:ascii="IBM Plex Sans" w:hAnsi="IBM Plex Sans" w:cs="IBM Plex Sans"/>
      <w:b w:val="0"/>
      <w:color w:val="6B7680"/>
      <w:sz w:val="20"/>
    </w:rPr>
  </w:style>
  <w:style w:type="paragraph" w:customStyle="1" w:styleId="CalloutText">
    <w:name w:val="CalloutText"/>
    <w:basedOn w:val="Normal"/>
    <w:pPr>
      <w:spacing w:before="0" w:after="0" w:line="348" w:lineRule="auto"/>
    </w:pPr>
    <w:rPr>
      <w:rFonts w:ascii="IBM Plex Sans" w:hAnsi="IBM Plex Sans" w:cs="IBM Plex Sans"/>
      <w:b w:val="0"/>
      <w:color w:val="0B0E11"/>
      <w:sz w:val="21"/>
    </w:rPr>
  </w:style>
  <w:style w:type="paragraph" w:customStyle="1" w:styleId="ExtFlag">
    <w:name w:val="ExtFlag"/>
    <w:basedOn w:val="Normal"/>
    <w:pPr>
      <w:spacing w:before="40" w:after="40" w:line="312" w:lineRule="auto"/>
    </w:pPr>
    <w:rPr>
      <w:rFonts w:ascii="IBM Plex Mono" w:hAnsi="IBM Plex Mono" w:cs="IBM Plex Mono"/>
      <w:b w:val="0"/>
      <w:caps/>
      <w:color w:val="0E8E66"/>
      <w:spacing w:val="26"/>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cover_dark.pn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Sora-regular.odttf"/><Relationship Id="rId2" Type="http://schemas.openxmlformats.org/officeDocument/2006/relationships/font" Target="fonts/Sora-bold.odttf"/><Relationship Id="rId3" Type="http://schemas.openxmlformats.org/officeDocument/2006/relationships/font" Target="fonts/IBMPlexSans-regular.odttf"/><Relationship Id="rId4" Type="http://schemas.openxmlformats.org/officeDocument/2006/relationships/font" Target="fonts/IBMPlexSans-bold.odttf"/><Relationship Id="rId5" Type="http://schemas.openxmlformats.org/officeDocument/2006/relationships/font" Target="fonts/IBMPlexMono-regular.odttf"/><Relationship Id="rId6" Type="http://schemas.openxmlformats.org/officeDocument/2006/relationships/font" Target="fonts/IBMPlexMono-bold.odttf"/></Relationships>
</file>

<file path=word/_rels/header1.xml.rels><?xml version='1.0' encoding='UTF-8' standalone='yes'?>
<Relationships xmlns="http://schemas.openxmlformats.org/package/2006/relationships"><Relationship Id="rId1" Type="http://schemas.openxmlformats.org/officeDocument/2006/relationships/image" Target="media/bench_paper.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Framework - Cyber-Physical and Distributed Systems Security Control Domain</dc:title>
  <dc:subject>SCOPE, Strategic Cybersecurity Operations and Protection for Enterprises</dc:subject>
  <dc:creator>Tim D. Tipton Jr.</dc:creator>
  <cp:keywords>SCOPE, cybersecurity, controls, maturity model, crosswalk</cp:keywords>
  <dc:description/>
  <cp:lastModifiedBy>Tim D. Tipton Jr.</cp:lastModifiedBy>
  <cp:revision>1</cp:revision>
  <dcterms:created xsi:type="dcterms:W3CDTF">2026-07-22T00:00:00Z</dcterms:created>
  <dcterms:modified xsi:type="dcterms:W3CDTF">2026-07-22T00:00:00Z</dcterms:modified>
  <cp:category>Cybersecurity Framework</cp:category>
  <dc:language>en-US</dc:language>
</cp:coreProperties>
</file>