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IBMPlexMono-bold.odttf" ContentType="application/vnd.openxmlformats-officedocument.obfuscatedFont"/>
  <Override PartName="/word/fonts/IBMPlexMono-regular.odttf" ContentType="application/vnd.openxmlformats-officedocument.obfuscatedFont"/>
  <Override PartName="/word/fonts/IBMPlexSans-bold.odttf" ContentType="application/vnd.openxmlformats-officedocument.obfuscatedFont"/>
  <Override PartName="/word/fonts/IBMPlexSans-regular.odttf" ContentType="application/vnd.openxmlformats-officedocument.obfuscatedFont"/>
  <Override PartName="/word/fonts/Sora-bold.odttf" ContentType="application/vnd.openxmlformats-officedocument.obfuscatedFont"/>
  <Override PartName="/word/fonts/Sora-regular.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pPr>
      <w:r>
        <w:drawing>
          <wp:anchor distT="0" distB="0" distL="0" distR="0" simplePos="0" relativeHeight="0" behindDoc="1" locked="0" layoutInCell="0" allowOverlap="1">
            <wp:simplePos x="0" y="0"/>
            <wp:positionH relativeFrom="page">
              <wp:posOffset>0</wp:posOffset>
            </wp:positionH>
            <wp:positionV relativeFrom="page">
              <wp:posOffset>0</wp:posOffset>
            </wp:positionV>
            <wp:extent cx="7772400" cy="10058400"/>
            <wp:effectExtent l="0" t="0" r="0" b="0"/>
            <wp:wrapNone/>
            <wp:docPr id="201" name="CoverBackground" descr="Dark cover background panel"/>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201" name="CoverBackground" descr="Dark cover background panel"/>
                    <pic:cNvPicPr/>
                  </pic:nvPicPr>
                  <pic:blipFill>
                    <a:blip r:embed="rId11"/>
                    <a:stretch>
                      <a:fillRect/>
                    </a:stretch>
                  </pic:blipFill>
                  <pic:spPr>
                    <a:xfrm>
                      <a:off x="0" y="0"/>
                      <a:ext cx="7772400" cy="10058400"/>
                    </a:xfrm>
                    <a:prstGeom prst="rect">
                      <a:avLst/>
                    </a:prstGeom>
                  </pic:spPr>
                </pic:pic>
              </a:graphicData>
            </a:graphic>
          </wp:anchor>
        </w:drawing>
      </w:r>
    </w:p>
    <w:tbl>
      <w:tblPr>
        <w:tblW w:w="10080" w:type="dxa"/>
        <w:tblBorders>
          <w:top w:val="none"/>
          <w:left w:val="none"/>
          <w:bottom w:val="none"/>
          <w:right w:val="none"/>
          <w:insideH w:val="none"/>
          <w:insideV w:val="none"/>
        </w:tblBorders>
        <w:tblLook w:firstColumn="1" w:firstRow="1" w:lastColumn="0" w:lastRow="0" w:noHBand="0" w:noVBand="1" w:val="04A0"/>
      </w:tblPr>
      <w:tblGrid>
        <w:gridCol w:w="620"/>
        <w:gridCol w:w="9460"/>
      </w:tblGrid>
      <w:tr>
        <w:tc>
          <w:tcPr>
            <w:tcW w:type="dxa" w:w="620"/>
            <w:tcBorders>
              <w:top w:val="single" w:sz="8" w:space="0" w:color="E9BD55"/>
              <w:left w:val="single" w:sz="8" w:space="0" w:color="E9BD55"/>
              <w:bottom w:val="single" w:sz="8" w:space="0" w:color="E9BD55"/>
              <w:right w:val="single" w:sz="8" w:space="0" w:color="E9BD55"/>
            </w:tcBorders>
            <w:shd w:val="clear" w:color="auto" w:fill="141C22"/>
            <w:tcMar>
              <w:top w:w="6" w:type="dxa"/>
              <w:left w:w="6" w:type="dxa"/>
              <w:bottom w:w="6" w:type="dxa"/>
              <w:right w:w="6" w:type="dxa"/>
            </w:tcMar>
            <w:vAlign w:val="center"/>
          </w:tcPr>
          <w:p>
            <w:pPr>
              <w:pStyle w:val="SigilTxt"/>
              <w:jc w:val="center"/>
            </w:pPr>
            <w:r>
              <w:rPr>
                <w:rFonts w:ascii="IBM Plex Mono" w:hAnsi="IBM Plex Mono" w:cs="IBM Plex Mono"/>
                <w:color w:val="5A6B75"/>
                <w:sz w:val="12"/>
              </w:rPr>
              <w:t>79</w:t>
            </w:r>
            <w:r>
              <w:rPr>
                <w:rFonts w:ascii="IBM Plex Mono" w:hAnsi="IBM Plex Mono" w:cs="IBM Plex Mono"/>
                <w:b/>
                <w:color w:val="FBE08F"/>
                <w:sz w:val="26"/>
              </w:rPr>
              <w:t xml:space="preserve"> Au</w:t>
            </w:r>
          </w:p>
        </w:tc>
        <w:tc>
          <w:tcPr>
            <w:tcW w:type="dxa" w:w="9460"/>
            <w:vAlign w:val="center"/>
          </w:tcPr>
          <w:p>
            <w:pPr>
              <w:pStyle w:val="WordMark"/>
            </w:pPr>
            <w:r>
              <w:rPr>
                <w:rFonts w:ascii="IBM Plex Mono" w:hAnsi="IBM Plex Mono" w:cs="IBM Plex Mono"/>
                <w:caps/>
                <w:color w:val="EAF0F2"/>
                <w:sz w:val="22"/>
              </w:rPr>
              <w:t>Cyber Alchemist</w:t>
            </w:r>
          </w:p>
        </w:tc>
      </w:tr>
    </w:tbl>
    <w:p>
      <w:pPr>
        <w:pStyle w:val="CoverKicker"/>
      </w:pPr>
      <w:r/>
      <w:r>
        <w:rPr>
          <w:rFonts w:ascii="IBM Plex Mono" w:hAnsi="IBM Plex Mono" w:cs="IBM Plex Mono"/>
          <w:color w:val="10A878"/>
          <w:sz w:val="18"/>
        </w:rPr>
        <w:t xml:space="preserve">// </w:t>
      </w:r>
      <w:r>
        <w:rPr>
          <w:rFonts w:ascii="IBM Plex Mono" w:hAnsi="IBM Plex Mono" w:cs="IBM Plex Mono"/>
          <w:caps/>
          <w:color w:val="21E0A0"/>
          <w:sz w:val="18"/>
        </w:rPr>
        <w:t>a control domain</w:t>
      </w:r>
    </w:p>
    <w:p>
      <w:pPr>
        <w:pStyle w:val="CoverTitle"/>
      </w:pPr>
      <w:r>
        <w:t>Data Governance &amp; Privacy</w:t>
      </w:r>
    </w:p>
    <w:p>
      <w:pPr>
        <w:pStyle w:val="CoverDeck"/>
      </w:pPr>
      <w:r>
        <w:t>Governing data from classification to disposal, with residency, loss prevention, and user rights built in.</w:t>
      </w:r>
    </w:p>
    <w:p>
      <w:pPr>
        <w:pStyle w:val="CoverAttrib"/>
      </w:pPr>
      <w:r>
        <w:t>Tim D. Tipton Jr.  ·  The Cyber Alchemist</w:t>
      </w:r>
    </w:p>
    <w:tbl>
      <w:tblPr>
        <w:tblW w:w="10080" w:type="dxa"/>
        <w:tblBorders>
          <w:top w:val="none"/>
          <w:left w:val="none"/>
          <w:bottom w:val="none"/>
          <w:right w:val="none"/>
          <w:insideH w:val="none"/>
          <w:insideV w:val="none"/>
        </w:tblBorders>
        <w:tblLook w:firstColumn="1" w:firstRow="1" w:lastColumn="0" w:lastRow="0" w:noHBand="0" w:noVBand="1" w:val="04A0"/>
        <w:tblCaption w:val="Classification scheme"/>
        <w:tblDescription w:val="The three classification tiers, lowest to highest sensitivity: Public, Internal, Confidential."/>
      </w:tblPr>
      <w:tblGrid>
        <w:gridCol w:w="3360"/>
        <w:gridCol w:w="3360"/>
        <w:gridCol w:w="3360"/>
      </w:tblGrid>
      <w:tr>
        <w:tc>
          <w:tcPr>
            <w:tcW w:type="dxa" w:w="3360"/>
            <w:tcBorders>
              <w:top w:val="single" w:sz="6" w:space="0" w:color="1E2A31"/>
              <w:left w:val="single" w:sz="6" w:space="0" w:color="1E2A31"/>
              <w:bottom w:val="single" w:sz="6" w:space="0" w:color="1E2A31"/>
              <w:right w:val="single" w:sz="6" w:space="0" w:color="1E2A31"/>
            </w:tcBorders>
            <w:shd w:val="clear" w:color="auto" w:fill="141C22"/>
            <w:tcMar>
              <w:top w:w="14" w:type="dxa"/>
              <w:left w:w="16" w:type="dxa"/>
              <w:bottom w:w="16" w:type="dxa"/>
              <w:right w:w="16" w:type="dxa"/>
            </w:tcMar>
          </w:tcPr>
          <w:p>
            <w:pPr>
              <w:pStyle w:val="TileIdx"/>
            </w:pPr>
            <w:r>
              <w:rPr>
                <w:rFonts w:ascii="IBM Plex Mono" w:hAnsi="IBM Plex Mono" w:cs="IBM Plex Mono"/>
                <w:color w:val="5A6B75"/>
                <w:sz w:val="15"/>
              </w:rPr>
              <w:t>01</w:t>
            </w:r>
          </w:p>
          <w:p>
            <w:pPr>
              <w:pStyle w:val="TileSym"/>
            </w:pPr>
            <w:r>
              <w:rPr>
                <w:rFonts w:ascii="Sora" w:hAnsi="Sora" w:cs="Sora"/>
                <w:b/>
                <w:color w:val="EAF0F2"/>
                <w:sz w:val="42"/>
              </w:rPr>
              <w:t>Do</w:t>
            </w:r>
          </w:p>
          <w:p>
            <w:pPr>
              <w:pStyle w:val="TileName"/>
            </w:pPr>
            <w:r>
              <w:rPr>
                <w:rFonts w:ascii="IBM Plex Mono" w:hAnsi="IBM Plex Mono" w:cs="IBM Plex Mono"/>
                <w:caps/>
                <w:color w:val="8FA0AB"/>
                <w:sz w:val="15"/>
              </w:rPr>
              <w:t>Domain</w:t>
            </w:r>
          </w:p>
        </w:tc>
        <w:tc>
          <w:tcPr>
            <w:tcW w:type="dxa" w:w="3360"/>
            <w:tcBorders>
              <w:top w:val="single" w:sz="6" w:space="0" w:color="1E2A31"/>
              <w:left w:val="single" w:sz="6" w:space="0" w:color="1E2A31"/>
              <w:bottom w:val="single" w:sz="6" w:space="0" w:color="1E2A31"/>
              <w:right w:val="single" w:sz="6" w:space="0" w:color="1E2A31"/>
            </w:tcBorders>
            <w:shd w:val="clear" w:color="auto" w:fill="141C22"/>
            <w:tcMar>
              <w:top w:w="14" w:type="dxa"/>
              <w:left w:w="16" w:type="dxa"/>
              <w:bottom w:w="16" w:type="dxa"/>
              <w:right w:w="16" w:type="dxa"/>
            </w:tcMar>
          </w:tcPr>
          <w:p>
            <w:pPr>
              <w:pStyle w:val="TileIdx"/>
            </w:pPr>
            <w:r>
              <w:rPr>
                <w:rFonts w:ascii="IBM Plex Mono" w:hAnsi="IBM Plex Mono" w:cs="IBM Plex Mono"/>
                <w:color w:val="5A6B75"/>
                <w:sz w:val="15"/>
              </w:rPr>
              <w:t>02</w:t>
            </w:r>
          </w:p>
          <w:p>
            <w:pPr>
              <w:pStyle w:val="TileSym"/>
            </w:pPr>
            <w:r>
              <w:rPr>
                <w:rFonts w:ascii="Sora" w:hAnsi="Sora" w:cs="Sora"/>
                <w:b/>
                <w:color w:val="EAF0F2"/>
                <w:sz w:val="42"/>
              </w:rPr>
              <w:t>Fa</w:t>
            </w:r>
          </w:p>
          <w:p>
            <w:pPr>
              <w:pStyle w:val="TileName"/>
            </w:pPr>
            <w:r>
              <w:rPr>
                <w:rFonts w:ascii="IBM Plex Mono" w:hAnsi="IBM Plex Mono" w:cs="IBM Plex Mono"/>
                <w:caps/>
                <w:color w:val="8FA0AB"/>
                <w:sz w:val="15"/>
              </w:rPr>
              <w:t>Family</w:t>
            </w:r>
          </w:p>
        </w:tc>
        <w:tc>
          <w:tcPr>
            <w:tcW w:type="dxa" w:w="3360"/>
            <w:tcBorders>
              <w:top w:val="single" w:sz="14" w:space="0" w:color="E9BD55"/>
              <w:left w:val="single" w:sz="14" w:space="0" w:color="E9BD55"/>
              <w:bottom w:val="single" w:sz="14" w:space="0" w:color="E9BD55"/>
              <w:right w:val="single" w:sz="14" w:space="0" w:color="E9BD55"/>
            </w:tcBorders>
            <w:shd w:val="clear" w:color="auto" w:fill="141C22"/>
            <w:tcMar>
              <w:top w:w="14" w:type="dxa"/>
              <w:left w:w="16" w:type="dxa"/>
              <w:bottom w:w="16" w:type="dxa"/>
              <w:right w:w="16" w:type="dxa"/>
            </w:tcMar>
          </w:tcPr>
          <w:p>
            <w:pPr>
              <w:pStyle w:val="TileIdxG"/>
            </w:pPr>
            <w:r>
              <w:rPr>
                <w:rFonts w:ascii="IBM Plex Mono" w:hAnsi="IBM Plex Mono" w:cs="IBM Plex Mono"/>
                <w:color w:val="E9BD55"/>
                <w:sz w:val="15"/>
              </w:rPr>
              <w:t>03</w:t>
            </w:r>
          </w:p>
          <w:p>
            <w:pPr>
              <w:pStyle w:val="TileSymG"/>
            </w:pPr>
            <w:r>
              <w:rPr>
                <w:rFonts w:ascii="Sora" w:hAnsi="Sora" w:cs="Sora"/>
                <w:b/>
                <w:color w:val="FBE08F"/>
                <w:sz w:val="42"/>
              </w:rPr>
              <w:t>Co</w:t>
            </w:r>
          </w:p>
          <w:p>
            <w:pPr>
              <w:pStyle w:val="TileNameG"/>
            </w:pPr>
            <w:r>
              <w:rPr>
                <w:rFonts w:ascii="IBM Plex Mono" w:hAnsi="IBM Plex Mono" w:cs="IBM Plex Mono"/>
                <w:caps/>
                <w:color w:val="E9BD55"/>
                <w:sz w:val="15"/>
              </w:rPr>
              <w:t>Control</w:t>
            </w:r>
          </w:p>
        </w:tc>
      </w:tr>
    </w:tbl>
    <w:p>
      <w:pPr>
        <w:pStyle w:val="SchemeCap"/>
      </w:pPr>
      <w:r>
        <w:t>Three layers, domain to control</w:t>
      </w:r>
    </w:p>
    <w:p>
      <w:pPr>
        <w:sectPr>
          <w:headerReference w:type="default" r:id="rId12"/>
          <w:footerReference w:type="default" r:id="rId13"/>
          <w:headerReference w:type="first" r:id="rId14"/>
          <w:footerReference w:type="first" r:id="rId15"/>
          <w:pgSz w:w="12240" w:h="15840"/>
          <w:pgMar w:top="1080" w:right="1080" w:bottom="1080" w:left="1080" w:header="720" w:footer="720" w:gutter="0"/>
          <w:cols w:space="720"/>
          <w:docGrid w:linePitch="360"/>
        </w:sectPr>
      </w:pPr>
    </w:p>
    <w:p>
      <w:pPr>
        <w:pStyle w:val="Kicker"/>
      </w:pPr>
      <w:r>
        <w:t>// document control</w:t>
      </w:r>
    </w:p>
    <w:tbl>
      <w:tblPr>
        <w:tblW w:type="auto" w:w="0"/>
        <w:tblLook w:firstColumn="1" w:firstRow="1" w:lastColumn="0" w:lastRow="0" w:noHBand="0" w:noVBand="1" w:val="04A0"/>
        <w:tblBorders>
          <w:top w:val="none"/>
          <w:left w:val="none"/>
          <w:bottom w:val="none"/>
          <w:right w:val="none"/>
          <w:insideH w:val="none"/>
          <w:insideV w:val="none"/>
        </w:tblBorders>
      </w:tblPr>
      <w:tblGrid>
        <w:gridCol w:w="4680"/>
        <w:gridCol w:w="4680"/>
      </w:tblGrid>
      <w:tr>
        <w:tc>
          <w:tcPr>
            <w:tcW w:type="dxa" w:w="4680"/>
          </w:tcPr>
          <w:p>
            <w:pPr>
              <w:pStyle w:val="HeadCellTxt"/>
            </w:pPr>
            <w:r>
              <w:t>Field</w:t>
            </w:r>
          </w:p>
        </w:tc>
        <w:tc>
          <w:tcPr>
            <w:tcW w:type="dxa" w:w="4680"/>
          </w:tcPr>
          <w:p>
            <w:pPr>
              <w:pStyle w:val="HeadCellTxt"/>
            </w:pPr>
            <w:r>
              <w:t>Entry</w:t>
            </w:r>
          </w:p>
        </w:tc>
      </w:tr>
      <w:tr>
        <w:tc>
          <w:tcPr>
            <w:tcW w:type="dxa" w:w="4680"/>
          </w:tcPr>
          <w:p>
            <w:pPr>
              <w:pStyle w:val="CellTxt"/>
            </w:pPr>
            <w:r>
              <w:t>Framework</w:t>
            </w:r>
          </w:p>
        </w:tc>
        <w:tc>
          <w:tcPr>
            <w:tcW w:type="dxa" w:w="4680"/>
          </w:tcPr>
          <w:p>
            <w:pPr>
              <w:pStyle w:val="CellTxt"/>
            </w:pPr>
            <w:r>
              <w:t>SCOPE, Strategic Cybersecurity Operations and Protection for Enterprises</w:t>
            </w:r>
          </w:p>
        </w:tc>
      </w:tr>
      <w:tr>
        <w:tc>
          <w:tcPr>
            <w:tcW w:type="dxa" w:w="4680"/>
          </w:tcPr>
          <w:p>
            <w:pPr>
              <w:pStyle w:val="CellTxt"/>
            </w:pPr>
            <w:r>
              <w:t>Document</w:t>
            </w:r>
          </w:p>
        </w:tc>
        <w:tc>
          <w:tcPr>
            <w:tcW w:type="dxa" w:w="4680"/>
          </w:tcPr>
          <w:p>
            <w:pPr>
              <w:pStyle w:val="CellTxt"/>
            </w:pPr>
            <w:r>
              <w:t>Data Governance &amp; Privacy Control Domain</w:t>
            </w:r>
          </w:p>
        </w:tc>
      </w:tr>
      <w:tr>
        <w:tc>
          <w:tcPr>
            <w:tcW w:type="dxa" w:w="4680"/>
          </w:tcPr>
          <w:p>
            <w:pPr>
              <w:pStyle w:val="CellTxt"/>
            </w:pPr>
            <w:r>
              <w:t>Author</w:t>
            </w:r>
          </w:p>
        </w:tc>
        <w:tc>
          <w:tcPr>
            <w:tcW w:type="dxa" w:w="4680"/>
          </w:tcPr>
          <w:p>
            <w:pPr>
              <w:pStyle w:val="CellTxt"/>
            </w:pPr>
            <w:r>
              <w:t>Tim D. Tipton Jr.</w:t>
            </w:r>
          </w:p>
        </w:tc>
      </w:tr>
      <w:tr>
        <w:tc>
          <w:tcPr>
            <w:tcW w:type="dxa" w:w="4680"/>
          </w:tcPr>
          <w:p>
            <w:pPr>
              <w:pStyle w:val="CellTxt"/>
            </w:pPr>
            <w:r>
              <w:t>Version</w:t>
            </w:r>
          </w:p>
        </w:tc>
        <w:tc>
          <w:tcPr>
            <w:tcW w:type="dxa" w:w="4680"/>
          </w:tcPr>
          <w:p>
            <w:pPr>
              <w:pStyle w:val="CellTxt"/>
            </w:pPr>
            <w:r>
              <w:t>1.0</w:t>
            </w:r>
          </w:p>
        </w:tc>
      </w:tr>
      <w:tr>
        <w:tc>
          <w:tcPr>
            <w:tcW w:type="dxa" w:w="4680"/>
          </w:tcPr>
          <w:p>
            <w:pPr>
              <w:pStyle w:val="CellTxt"/>
            </w:pPr>
            <w:r>
              <w:t>Date</w:t>
            </w:r>
          </w:p>
        </w:tc>
        <w:tc>
          <w:tcPr>
            <w:tcW w:type="dxa" w:w="4680"/>
          </w:tcPr>
          <w:p>
            <w:pPr>
              <w:pStyle w:val="CellTxt"/>
            </w:pPr>
            <w:r>
              <w:t>2026-07-22</w:t>
            </w:r>
          </w:p>
        </w:tc>
      </w:tr>
      <w:tr>
        <w:tc>
          <w:tcPr>
            <w:tcW w:type="dxa" w:w="4680"/>
          </w:tcPr>
          <w:p>
            <w:pPr>
              <w:pStyle w:val="CellTxt"/>
            </w:pPr>
            <w:r>
              <w:t>License</w:t>
            </w:r>
          </w:p>
        </w:tc>
        <w:tc>
          <w:tcPr>
            <w:tcW w:type="dxa" w:w="4680"/>
          </w:tcPr>
          <w:p>
            <w:pPr>
              <w:pStyle w:val="CellTxt"/>
            </w:pPr>
            <w:r>
              <w:t>CC BY 4.0</w:t>
            </w:r>
          </w:p>
        </w:tc>
      </w:tr>
      <w:tr>
        <w:tc>
          <w:tcPr>
            <w:tcW w:type="dxa" w:w="4680"/>
          </w:tcPr>
          <w:p>
            <w:pPr>
              <w:pStyle w:val="CellTxt"/>
            </w:pPr>
            <w:r>
              <w:t>Trademark</w:t>
            </w:r>
          </w:p>
        </w:tc>
        <w:tc>
          <w:tcPr>
            <w:tcW w:type="dxa" w:w="4680"/>
          </w:tcPr>
          <w:p>
            <w:pPr>
              <w:pStyle w:val="CellTxt"/>
            </w:pPr>
            <w:r>
              <w:t>SCOPE is a trademark of Tim D. Tipton Jr.</w:t>
            </w:r>
          </w:p>
        </w:tc>
      </w:tr>
      <w:tr>
        <w:tc>
          <w:tcPr>
            <w:tcW w:type="dxa" w:w="4680"/>
          </w:tcPr>
          <w:p>
            <w:pPr>
              <w:pStyle w:val="CellTxt"/>
            </w:pPr>
            <w:r>
              <w:t>Canonical source</w:t>
            </w:r>
          </w:p>
        </w:tc>
        <w:tc>
          <w:tcPr>
            <w:tcW w:type="dxa" w:w="4680"/>
          </w:tcPr>
          <w:p>
            <w:pPr>
              <w:pStyle w:val="CellTxt"/>
            </w:pPr>
            <w:r>
              <w:t>timtiptonjr.com/scope-hub</w:t>
            </w:r>
          </w:p>
        </w:tc>
      </w:tr>
      <w:tr>
        <w:tc>
          <w:tcPr>
            <w:tcW w:type="dxa" w:w="4680"/>
          </w:tcPr>
          <w:p>
            <w:pPr>
              <w:pStyle w:val="CellTxt"/>
            </w:pPr>
            <w:r>
              <w:t>Adopting organization</w:t>
            </w:r>
          </w:p>
        </w:tc>
        <w:tc>
          <w:tcPr>
            <w:tcW w:type="dxa" w:w="4680"/>
          </w:tcPr>
          <w:p>
            <w:pPr>
              <w:pStyle w:val="Placeholder"/>
            </w:pPr>
            <w:r>
              <w:t>Enter organization name</w:t>
            </w:r>
          </w:p>
        </w:tc>
      </w:tr>
      <w:tr>
        <w:tc>
          <w:tcPr>
            <w:tcW w:type="dxa" w:w="4680"/>
          </w:tcPr>
          <w:p>
            <w:pPr>
              <w:pStyle w:val="CellTxt"/>
            </w:pPr>
            <w:r>
              <w:t>Framework owner, role and name</w:t>
            </w:r>
          </w:p>
        </w:tc>
        <w:tc>
          <w:tcPr>
            <w:tcW w:type="dxa" w:w="4680"/>
          </w:tcPr>
          <w:p>
            <w:pPr>
              <w:pStyle w:val="Placeholder"/>
            </w:pPr>
            <w:r>
              <w:t>Enter role and name</w:t>
            </w:r>
          </w:p>
        </w:tc>
      </w:tr>
      <w:tr>
        <w:tc>
          <w:tcPr>
            <w:tcW w:type="dxa" w:w="4680"/>
          </w:tcPr>
          <w:p>
            <w:pPr>
              <w:pStyle w:val="CellTxt"/>
            </w:pPr>
            <w:r>
              <w:t>Effective date</w:t>
            </w:r>
          </w:p>
        </w:tc>
        <w:tc>
          <w:tcPr>
            <w:tcW w:type="dxa" w:w="4680"/>
          </w:tcPr>
          <w:p>
            <w:pPr>
              <w:pStyle w:val="Placeholder"/>
            </w:pPr>
            <w:r>
              <w:t>Enter effective date</w:t>
            </w:r>
          </w:p>
        </w:tc>
      </w:tr>
      <w:tr>
        <w:tc>
          <w:tcPr>
            <w:tcW w:type="dxa" w:w="4680"/>
          </w:tcPr>
          <w:p>
            <w:pPr>
              <w:pStyle w:val="CellTxt"/>
            </w:pPr>
            <w:r>
              <w:t>Review cycle</w:t>
            </w:r>
          </w:p>
        </w:tc>
        <w:tc>
          <w:tcPr>
            <w:tcW w:type="dxa" w:w="4680"/>
          </w:tcPr>
          <w:p>
            <w:pPr>
              <w:pStyle w:val="Placeholder"/>
            </w:pPr>
            <w:r>
              <w:t>Enter review cycle</w:t>
            </w:r>
          </w:p>
        </w:tc>
      </w:tr>
    </w:tbl>
    <w:p>
      <w:pPr>
        <w:pStyle w:val="Kicker"/>
      </w:pPr>
      <w:r>
        <w:t>// purpose</w:t>
      </w:r>
    </w:p>
    <w:p>
      <w:pPr>
        <w:pStyle w:val="Heading1"/>
      </w:pPr>
      <w:r>
        <w:t>Purpose</w:t>
      </w:r>
    </w:p>
    <w:p>
      <w:pPr/>
      <w:r>
        <w:t>The Data Governance &amp; Privacy domain ensures the responsible management, protection, and utilization of data assets throughout the organization. It provides a structured framework for classifying and labeling data, governing its lifecycle, enforcing data residency and sovereignty requirements, preventing unauthorized data loss or exfiltration, and honoring user data rights. This domain ensures that data is treated in alignment with its sensitivity, legal obligations, and user expectations, enabling transparency, accountability, and regulatory compliance. By institutionalizing data stewardship and privacy-by-design principles, the organization reduces data-related risk exposure, enhances trust, and upholds the confidentiality, integrity, and availability of sensitive information.</w:t>
      </w:r>
    </w:p>
    <w:p>
      <w:pPr>
        <w:pStyle w:val="Kicker"/>
      </w:pPr>
      <w:r>
        <w:t>// control family</w:t>
      </w:r>
    </w:p>
    <w:p>
      <w:pPr>
        <w:pStyle w:val="Heading2"/>
      </w:pPr>
      <w:r>
        <w:t>Data Classification &amp; Labeling (DCL)</w:t>
      </w:r>
    </w:p>
    <w:p>
      <w:pPr/>
      <w:r>
        <w:t>Effective data classification and labeling form the foundation for data protection, regulatory compliance, and informed access control decisions. This control family ensures organizations implement formal mechanisms to identify, classify, and label data based on sensitivity, criticality, regulatory obligations, and business value. The controls herein are intended to ensure data is handled appropriately throughout its lifecycle, enabling downstream enforcement mechanisms across people, process, and technology layers.</w:t>
      </w:r>
    </w:p>
    <w:p>
      <w:pPr>
        <w:keepNext/>
        <w:spacing w:before="180"/>
      </w:pPr>
      <w:r>
        <w:rPr>
          <w:rFonts w:ascii="IBM Plex Mono" w:hAnsi="IBM Plex Mono" w:cs="IBM Plex Mono"/>
          <w:b/>
          <w:color w:val="0E8E66"/>
          <w:sz w:val="19"/>
        </w:rPr>
        <w:t>DCL-01</w:t>
      </w:r>
      <w:r>
        <w:rPr>
          <w:rFonts w:ascii="IBM Plex Sans" w:hAnsi="IBM Plex Sans" w:cs="IBM Plex Sans"/>
          <w:b/>
          <w:color w:val="0B0E11"/>
          <w:sz w:val="21"/>
        </w:rPr>
        <w:t xml:space="preserve">   Data Classification Policy Definition</w:t>
      </w:r>
    </w:p>
    <w:p>
      <w:pPr/>
      <w:r>
        <w:t>The organization shall establish, document, and maintain a data classification policy that defines classification levels, criteria for classification, and handling requirements for each classification tier.</w:t>
      </w:r>
    </w:p>
    <w:p>
      <w:pPr>
        <w:keepNext/>
        <w:spacing w:before="180"/>
      </w:pPr>
      <w:r>
        <w:rPr>
          <w:rFonts w:ascii="IBM Plex Mono" w:hAnsi="IBM Plex Mono" w:cs="IBM Plex Mono"/>
          <w:b/>
          <w:color w:val="0E8E66"/>
          <w:sz w:val="19"/>
        </w:rPr>
        <w:t>DCL-02</w:t>
      </w:r>
      <w:r>
        <w:rPr>
          <w:rFonts w:ascii="IBM Plex Sans" w:hAnsi="IBM Plex Sans" w:cs="IBM Plex Sans"/>
          <w:b/>
          <w:color w:val="0B0E11"/>
          <w:sz w:val="21"/>
        </w:rPr>
        <w:t xml:space="preserve">   Data Classification Schema Standardization</w:t>
      </w:r>
    </w:p>
    <w:p>
      <w:pPr/>
      <w:r>
        <w:t>The organization shall define a standardized data classification schema that includes at minimum: Public, Internal, Confidential, and Restricted classifications, with accompanying descriptions and handling requirements.</w:t>
      </w:r>
    </w:p>
    <w:p>
      <w:pPr>
        <w:keepNext/>
        <w:spacing w:before="180"/>
      </w:pPr>
      <w:r>
        <w:rPr>
          <w:rFonts w:ascii="IBM Plex Mono" w:hAnsi="IBM Plex Mono" w:cs="IBM Plex Mono"/>
          <w:b/>
          <w:color w:val="0E8E66"/>
          <w:sz w:val="19"/>
        </w:rPr>
        <w:t>DCL-03</w:t>
      </w:r>
      <w:r>
        <w:rPr>
          <w:rFonts w:ascii="IBM Plex Sans" w:hAnsi="IBM Plex Sans" w:cs="IBM Plex Sans"/>
          <w:b/>
          <w:color w:val="0B0E11"/>
          <w:sz w:val="21"/>
        </w:rPr>
        <w:t xml:space="preserve">   Roles &amp; Responsibilities for Classification</w:t>
      </w:r>
    </w:p>
    <w:p>
      <w:pPr/>
      <w:r>
        <w:t>The organization shall assign roles and responsibilities for data classification to data owners, custodians, and stewards, including enforcement and periodic validation of classifications.</w:t>
      </w:r>
    </w:p>
    <w:p>
      <w:pPr>
        <w:keepNext/>
        <w:spacing w:before="180"/>
      </w:pPr>
      <w:r>
        <w:rPr>
          <w:rFonts w:ascii="IBM Plex Mono" w:hAnsi="IBM Plex Mono" w:cs="IBM Plex Mono"/>
          <w:b/>
          <w:color w:val="0E8E66"/>
          <w:sz w:val="19"/>
        </w:rPr>
        <w:t>DCL-04</w:t>
      </w:r>
      <w:r>
        <w:rPr>
          <w:rFonts w:ascii="IBM Plex Sans" w:hAnsi="IBM Plex Sans" w:cs="IBM Plex Sans"/>
          <w:b/>
          <w:color w:val="0B0E11"/>
          <w:sz w:val="21"/>
        </w:rPr>
        <w:t xml:space="preserve">   Classification of Structured &amp; Unstructured Data</w:t>
      </w:r>
    </w:p>
    <w:p>
      <w:pPr/>
      <w:r>
        <w:t>The organization shall implement procedures to classify both structured and unstructured data across repositories and storage media, including databases, file systems, collaboration platforms, and cloud storage.</w:t>
      </w:r>
    </w:p>
    <w:p>
      <w:pPr>
        <w:keepNext/>
        <w:spacing w:before="180"/>
      </w:pPr>
      <w:r>
        <w:rPr>
          <w:rFonts w:ascii="IBM Plex Mono" w:hAnsi="IBM Plex Mono" w:cs="IBM Plex Mono"/>
          <w:b/>
          <w:color w:val="0E8E66"/>
          <w:sz w:val="19"/>
        </w:rPr>
        <w:t>DCL-05</w:t>
      </w:r>
      <w:r>
        <w:rPr>
          <w:rFonts w:ascii="IBM Plex Sans" w:hAnsi="IBM Plex Sans" w:cs="IBM Plex Sans"/>
          <w:b/>
          <w:color w:val="0B0E11"/>
          <w:sz w:val="21"/>
        </w:rPr>
        <w:t xml:space="preserve">   Metadata Tagging for Classified Data</w:t>
      </w:r>
    </w:p>
    <w:p>
      <w:pPr/>
      <w:r>
        <w:t>Classified data shall be tagged with metadata indicating its classification level, owner, and any applicable handling or regulatory constraints, using automated or manual tagging mechanisms.</w:t>
      </w:r>
    </w:p>
    <w:p>
      <w:pPr>
        <w:keepNext/>
        <w:spacing w:before="180"/>
      </w:pPr>
      <w:r>
        <w:rPr>
          <w:rFonts w:ascii="IBM Plex Mono" w:hAnsi="IBM Plex Mono" w:cs="IBM Plex Mono"/>
          <w:b/>
          <w:color w:val="0E8E66"/>
          <w:sz w:val="19"/>
        </w:rPr>
        <w:t>DCL-06</w:t>
      </w:r>
      <w:r>
        <w:rPr>
          <w:rFonts w:ascii="IBM Plex Sans" w:hAnsi="IBM Plex Sans" w:cs="IBM Plex Sans"/>
          <w:b/>
          <w:color w:val="0B0E11"/>
          <w:sz w:val="21"/>
        </w:rPr>
        <w:t xml:space="preserve">   Automated Classification Tool Integration</w:t>
      </w:r>
    </w:p>
    <w:p>
      <w:pPr/>
      <w:r>
        <w:t>The organization shall deploy and maintain automated classification tools to scan and categorize data based on content, context, and source, integrating with DLP and access control solutions.</w:t>
      </w:r>
    </w:p>
    <w:p>
      <w:pPr>
        <w:keepNext/>
        <w:spacing w:before="180"/>
      </w:pPr>
      <w:r>
        <w:rPr>
          <w:rFonts w:ascii="IBM Plex Mono" w:hAnsi="IBM Plex Mono" w:cs="IBM Plex Mono"/>
          <w:b/>
          <w:color w:val="0E8E66"/>
          <w:sz w:val="19"/>
        </w:rPr>
        <w:t>DCL-07</w:t>
      </w:r>
      <w:r>
        <w:rPr>
          <w:rFonts w:ascii="IBM Plex Sans" w:hAnsi="IBM Plex Sans" w:cs="IBM Plex Sans"/>
          <w:b/>
          <w:color w:val="0B0E11"/>
          <w:sz w:val="21"/>
        </w:rPr>
        <w:t xml:space="preserve">   Labeling of Digital Assets</w:t>
      </w:r>
    </w:p>
    <w:p>
      <w:pPr/>
      <w:r>
        <w:t>The organization shall ensure that digital assets are labeled in accordance with their classification level using visual or embedded indicators (e.g., headers, footers, watermarks, metadata).</w:t>
      </w:r>
    </w:p>
    <w:p>
      <w:pPr>
        <w:keepNext/>
        <w:spacing w:before="180"/>
      </w:pPr>
      <w:r>
        <w:rPr>
          <w:rFonts w:ascii="IBM Plex Mono" w:hAnsi="IBM Plex Mono" w:cs="IBM Plex Mono"/>
          <w:b/>
          <w:color w:val="0E8E66"/>
          <w:sz w:val="19"/>
        </w:rPr>
        <w:t>DCL-08</w:t>
      </w:r>
      <w:r>
        <w:rPr>
          <w:rFonts w:ascii="IBM Plex Sans" w:hAnsi="IBM Plex Sans" w:cs="IBM Plex Sans"/>
          <w:b/>
          <w:color w:val="0B0E11"/>
          <w:sz w:val="21"/>
        </w:rPr>
        <w:t xml:space="preserve">   Labeling of Physical Assets</w:t>
      </w:r>
    </w:p>
    <w:p>
      <w:pPr/>
      <w:r>
        <w:t>Physical media such as printed documents, USB drives, and backup tapes shall be labeled clearly in accordance with their data classification, using standardized templates or color-coding where feasible.</w:t>
      </w:r>
    </w:p>
    <w:p>
      <w:pPr>
        <w:keepNext/>
        <w:spacing w:before="180"/>
      </w:pPr>
      <w:r>
        <w:rPr>
          <w:rFonts w:ascii="IBM Plex Mono" w:hAnsi="IBM Plex Mono" w:cs="IBM Plex Mono"/>
          <w:b/>
          <w:color w:val="0E8E66"/>
          <w:sz w:val="19"/>
        </w:rPr>
        <w:t>DCL-09</w:t>
      </w:r>
      <w:r>
        <w:rPr>
          <w:rFonts w:ascii="IBM Plex Sans" w:hAnsi="IBM Plex Sans" w:cs="IBM Plex Sans"/>
          <w:b/>
          <w:color w:val="0B0E11"/>
          <w:sz w:val="21"/>
        </w:rPr>
        <w:t xml:space="preserve">   Classification at Point of Creation</w:t>
      </w:r>
    </w:p>
    <w:p>
      <w:pPr/>
      <w:r>
        <w:t>Where feasible, data creators shall classify information at the point of creation using integrated prompts or defaults in business applications, file storage systems, or content management platforms.</w:t>
      </w:r>
    </w:p>
    <w:p>
      <w:pPr>
        <w:keepNext/>
        <w:spacing w:before="180"/>
      </w:pPr>
      <w:r>
        <w:rPr>
          <w:rFonts w:ascii="IBM Plex Mono" w:hAnsi="IBM Plex Mono" w:cs="IBM Plex Mono"/>
          <w:b/>
          <w:color w:val="0E8E66"/>
          <w:sz w:val="19"/>
        </w:rPr>
        <w:t>DCL-10</w:t>
      </w:r>
      <w:r>
        <w:rPr>
          <w:rFonts w:ascii="IBM Plex Sans" w:hAnsi="IBM Plex Sans" w:cs="IBM Plex Sans"/>
          <w:b/>
          <w:color w:val="0B0E11"/>
          <w:sz w:val="21"/>
        </w:rPr>
        <w:t xml:space="preserve">   Classification Validation &amp; Quality Assurance</w:t>
      </w:r>
    </w:p>
    <w:p>
      <w:pPr/>
      <w:r>
        <w:t>The organization shall implement periodic validation procedures to ensure the accuracy and consistency of data classifications, including audits and sampling by data stewards or internal audit functions.</w:t>
      </w:r>
    </w:p>
    <w:p>
      <w:pPr>
        <w:keepNext/>
        <w:spacing w:before="180"/>
      </w:pPr>
      <w:r>
        <w:rPr>
          <w:rFonts w:ascii="IBM Plex Mono" w:hAnsi="IBM Plex Mono" w:cs="IBM Plex Mono"/>
          <w:b/>
          <w:color w:val="0E8E66"/>
          <w:sz w:val="19"/>
        </w:rPr>
        <w:t>DCL-11</w:t>
      </w:r>
      <w:r>
        <w:rPr>
          <w:rFonts w:ascii="IBM Plex Sans" w:hAnsi="IBM Plex Sans" w:cs="IBM Plex Sans"/>
          <w:b/>
          <w:color w:val="0B0E11"/>
          <w:sz w:val="21"/>
        </w:rPr>
        <w:t xml:space="preserve">   Classification Review Triggers</w:t>
      </w:r>
    </w:p>
    <w:p>
      <w:pPr/>
      <w:r>
        <w:t>The organization shall define triggers that require reclassification of data, including changes in business process, ownership, regulatory status, aggregation, or threat landscape.</w:t>
      </w:r>
    </w:p>
    <w:p>
      <w:pPr>
        <w:keepNext/>
        <w:spacing w:before="180"/>
      </w:pPr>
      <w:r>
        <w:rPr>
          <w:rFonts w:ascii="IBM Plex Mono" w:hAnsi="IBM Plex Mono" w:cs="IBM Plex Mono"/>
          <w:b/>
          <w:color w:val="0E8E66"/>
          <w:sz w:val="19"/>
        </w:rPr>
        <w:t>DCL-12</w:t>
      </w:r>
      <w:r>
        <w:rPr>
          <w:rFonts w:ascii="IBM Plex Sans" w:hAnsi="IBM Plex Sans" w:cs="IBM Plex Sans"/>
          <w:b/>
          <w:color w:val="0B0E11"/>
          <w:sz w:val="21"/>
        </w:rPr>
        <w:t xml:space="preserve">   Legacy Data Classification Strategy</w:t>
      </w:r>
    </w:p>
    <w:p>
      <w:pPr/>
      <w:r>
        <w:t>A defined process shall be implemented to assess and apply appropriate classification to legacy or inherited data sets lacking classification metadata.</w:t>
      </w:r>
    </w:p>
    <w:p>
      <w:pPr>
        <w:keepNext/>
        <w:spacing w:before="180"/>
      </w:pPr>
      <w:r>
        <w:rPr>
          <w:rFonts w:ascii="IBM Plex Mono" w:hAnsi="IBM Plex Mono" w:cs="IBM Plex Mono"/>
          <w:b/>
          <w:color w:val="0E8E66"/>
          <w:sz w:val="19"/>
        </w:rPr>
        <w:t>DCL-13</w:t>
      </w:r>
      <w:r>
        <w:rPr>
          <w:rFonts w:ascii="IBM Plex Sans" w:hAnsi="IBM Plex Sans" w:cs="IBM Plex Sans"/>
          <w:b/>
          <w:color w:val="0B0E11"/>
          <w:sz w:val="21"/>
        </w:rPr>
        <w:t xml:space="preserve">   Third-Party Data Classification Alignment</w:t>
      </w:r>
    </w:p>
    <w:p>
      <w:pPr/>
      <w:r>
        <w:t>When receiving or transmitting data to third parties, the organization shall require classification labels to be preserved or mapped to internal schema, and establish contractual alignment requirements.</w:t>
      </w:r>
    </w:p>
    <w:p>
      <w:pPr>
        <w:keepNext/>
        <w:spacing w:before="180"/>
      </w:pPr>
      <w:r>
        <w:rPr>
          <w:rFonts w:ascii="IBM Plex Mono" w:hAnsi="IBM Plex Mono" w:cs="IBM Plex Mono"/>
          <w:b/>
          <w:color w:val="0E8E66"/>
          <w:sz w:val="19"/>
        </w:rPr>
        <w:t>DCL-14</w:t>
      </w:r>
      <w:r>
        <w:rPr>
          <w:rFonts w:ascii="IBM Plex Sans" w:hAnsi="IBM Plex Sans" w:cs="IBM Plex Sans"/>
          <w:b/>
          <w:color w:val="0B0E11"/>
          <w:sz w:val="21"/>
        </w:rPr>
        <w:t xml:space="preserve">   Classification-Driven Handling Procedures</w:t>
      </w:r>
    </w:p>
    <w:p>
      <w:pPr/>
      <w:r>
        <w:t>Procedures for accessing, storing, transmitting, archiving, and disposing of data shall be driven by its classification level, ensuring higher sensitivity data is afforded greater protection.</w:t>
      </w:r>
    </w:p>
    <w:p>
      <w:pPr>
        <w:keepNext/>
        <w:spacing w:before="180"/>
      </w:pPr>
      <w:r>
        <w:rPr>
          <w:rFonts w:ascii="IBM Plex Mono" w:hAnsi="IBM Plex Mono" w:cs="IBM Plex Mono"/>
          <w:b/>
          <w:color w:val="0E8E66"/>
          <w:sz w:val="19"/>
        </w:rPr>
        <w:t>DCL-15</w:t>
      </w:r>
      <w:r>
        <w:rPr>
          <w:rFonts w:ascii="IBM Plex Sans" w:hAnsi="IBM Plex Sans" w:cs="IBM Plex Sans"/>
          <w:b/>
          <w:color w:val="0B0E11"/>
          <w:sz w:val="21"/>
        </w:rPr>
        <w:t xml:space="preserve">   End-User Training on Classification &amp; Labeling</w:t>
      </w:r>
    </w:p>
    <w:p>
      <w:pPr/>
      <w:r>
        <w:t>Training programs shall be developed and delivered to ensure personnel understand the classification schema, their responsibility in labeling, and the risks of misclassification.</w:t>
      </w:r>
    </w:p>
    <w:p>
      <w:pPr>
        <w:keepNext/>
        <w:spacing w:before="180"/>
      </w:pPr>
      <w:r>
        <w:rPr>
          <w:rFonts w:ascii="IBM Plex Mono" w:hAnsi="IBM Plex Mono" w:cs="IBM Plex Mono"/>
          <w:b/>
          <w:color w:val="0E8E66"/>
          <w:sz w:val="19"/>
        </w:rPr>
        <w:t>DCL-16</w:t>
      </w:r>
      <w:r>
        <w:rPr>
          <w:rFonts w:ascii="IBM Plex Sans" w:hAnsi="IBM Plex Sans" w:cs="IBM Plex Sans"/>
          <w:b/>
          <w:color w:val="0B0E11"/>
          <w:sz w:val="21"/>
        </w:rPr>
        <w:t xml:space="preserve">   Classification Exceptions &amp; Escalations</w:t>
      </w:r>
    </w:p>
    <w:p>
      <w:pPr/>
      <w:r>
        <w:t>The organization shall define a process for handling classification exceptions, conflicts, or escalation requests, including resolution authority and timeframes.</w:t>
      </w:r>
    </w:p>
    <w:p>
      <w:pPr>
        <w:keepNext/>
        <w:spacing w:before="180"/>
      </w:pPr>
      <w:r>
        <w:rPr>
          <w:rFonts w:ascii="IBM Plex Mono" w:hAnsi="IBM Plex Mono" w:cs="IBM Plex Mono"/>
          <w:b/>
          <w:color w:val="0E8E66"/>
          <w:sz w:val="19"/>
        </w:rPr>
        <w:t>DCL-17</w:t>
      </w:r>
      <w:r>
        <w:rPr>
          <w:rFonts w:ascii="IBM Plex Sans" w:hAnsi="IBM Plex Sans" w:cs="IBM Plex Sans"/>
          <w:b/>
          <w:color w:val="0B0E11"/>
          <w:sz w:val="21"/>
        </w:rPr>
        <w:t xml:space="preserve">   Integration with Access Control Systems</w:t>
      </w:r>
    </w:p>
    <w:p>
      <w:pPr/>
      <w:r>
        <w:t>Classification metadata shall integrate with access control mechanisms (e.g., RBAC, ABAC) to enforce authorization based on data sensitivity and user clearance.</w:t>
      </w:r>
    </w:p>
    <w:p>
      <w:pPr>
        <w:keepNext/>
        <w:spacing w:before="180"/>
      </w:pPr>
      <w:r>
        <w:rPr>
          <w:rFonts w:ascii="IBM Plex Mono" w:hAnsi="IBM Plex Mono" w:cs="IBM Plex Mono"/>
          <w:b/>
          <w:color w:val="0E8E66"/>
          <w:sz w:val="19"/>
        </w:rPr>
        <w:t>DCL-18</w:t>
      </w:r>
      <w:r>
        <w:rPr>
          <w:rFonts w:ascii="IBM Plex Sans" w:hAnsi="IBM Plex Sans" w:cs="IBM Plex Sans"/>
          <w:b/>
          <w:color w:val="0B0E11"/>
          <w:sz w:val="21"/>
        </w:rPr>
        <w:t xml:space="preserve">   Classification Retention &amp; Audit Logging</w:t>
      </w:r>
    </w:p>
    <w:p>
      <w:pPr/>
      <w:r>
        <w:t>Systems used for classification shall maintain audit logs of classification changes, who made them, when, and any associated rationale, for accountability and forensic purposes.</w:t>
      </w:r>
    </w:p>
    <w:p>
      <w:pPr>
        <w:keepNext/>
        <w:spacing w:before="180"/>
      </w:pPr>
      <w:r>
        <w:rPr>
          <w:rFonts w:ascii="IBM Plex Mono" w:hAnsi="IBM Plex Mono" w:cs="IBM Plex Mono"/>
          <w:b/>
          <w:color w:val="0E8E66"/>
          <w:sz w:val="19"/>
        </w:rPr>
        <w:t>DCL-19</w:t>
      </w:r>
      <w:r>
        <w:rPr>
          <w:rFonts w:ascii="IBM Plex Sans" w:hAnsi="IBM Plex Sans" w:cs="IBM Plex Sans"/>
          <w:b/>
          <w:color w:val="0B0E11"/>
          <w:sz w:val="21"/>
        </w:rPr>
        <w:t xml:space="preserve">   Enforcement of Labeling Before Transmission</w:t>
      </w:r>
    </w:p>
    <w:p>
      <w:pPr/>
      <w:r>
        <w:t>Controls shall be implemented to prevent outbound transmission of data without appropriate classification or labeling, particularly for sensitive or restricted data.</w:t>
      </w:r>
    </w:p>
    <w:p>
      <w:pPr>
        <w:keepNext/>
        <w:spacing w:before="180"/>
      </w:pPr>
      <w:r>
        <w:rPr>
          <w:rFonts w:ascii="IBM Plex Mono" w:hAnsi="IBM Plex Mono" w:cs="IBM Plex Mono"/>
          <w:b/>
          <w:color w:val="0E8E66"/>
          <w:sz w:val="19"/>
        </w:rPr>
        <w:t>DCL-20</w:t>
      </w:r>
      <w:r>
        <w:rPr>
          <w:rFonts w:ascii="IBM Plex Sans" w:hAnsi="IBM Plex Sans" w:cs="IBM Plex Sans"/>
          <w:b/>
          <w:color w:val="0B0E11"/>
          <w:sz w:val="21"/>
        </w:rPr>
        <w:t xml:space="preserve">   Continuous Improvement of Classification Process</w:t>
      </w:r>
    </w:p>
    <w:p>
      <w:pPr/>
      <w:r>
        <w:t>The classification and labeling program shall be periodically reviewed and enhanced to address emerging data types, technologies, regulatory drivers, and lessons learned from incidents or audits.</w:t>
      </w:r>
    </w:p>
    <w:p>
      <w:pPr>
        <w:keepNext/>
        <w:spacing w:before="180"/>
      </w:pPr>
      <w:r>
        <w:rPr>
          <w:rFonts w:ascii="IBM Plex Mono" w:hAnsi="IBM Plex Mono" w:cs="IBM Plex Mono"/>
          <w:b/>
          <w:color w:val="0E8E66"/>
          <w:sz w:val="19"/>
        </w:rPr>
        <w:t>DCL-21</w:t>
      </w:r>
      <w:r>
        <w:rPr>
          <w:rFonts w:ascii="IBM Plex Sans" w:hAnsi="IBM Plex Sans" w:cs="IBM Plex Sans"/>
          <w:b/>
          <w:color w:val="0B0E11"/>
          <w:sz w:val="21"/>
        </w:rPr>
        <w:t xml:space="preserve">   Regulatory Classification Mapping</w:t>
      </w:r>
    </w:p>
    <w:p>
      <w:pPr/>
      <w:r>
        <w:t>Data classification practices shall be mapped to applicable regulatory classification standards to ensure compliance and support external reporting obligations.</w:t>
      </w:r>
    </w:p>
    <w:p>
      <w:pPr>
        <w:pStyle w:val="Kicker"/>
      </w:pPr>
      <w:r>
        <w:t>// control family</w:t>
      </w:r>
    </w:p>
    <w:p>
      <w:pPr>
        <w:pStyle w:val="Heading2"/>
      </w:pPr>
      <w:r>
        <w:t>Data Lifecycle Management (DLM)</w:t>
      </w:r>
    </w:p>
    <w:p>
      <w:pPr/>
      <w:r>
        <w:t>Data Lifecycle Management (DLM) ensures that data is governed and protected throughout each phase of its existence, from creation and usage through storage, archival, and final destruction. These controls focus on the definition, enforcement, and continuous refinement of lifecycle policies that align with business needs, regulatory requirements, and risk tolerance. Unlike classification, DLM emphasizes time-bound custodianship, transitions between phases, and defensible deletion strategies.</w:t>
      </w:r>
    </w:p>
    <w:p>
      <w:pPr>
        <w:keepNext/>
        <w:spacing w:before="180"/>
      </w:pPr>
      <w:r>
        <w:rPr>
          <w:rFonts w:ascii="IBM Plex Mono" w:hAnsi="IBM Plex Mono" w:cs="IBM Plex Mono"/>
          <w:b/>
          <w:color w:val="0E8E66"/>
          <w:sz w:val="19"/>
        </w:rPr>
        <w:t>DLM-01</w:t>
      </w:r>
      <w:r>
        <w:rPr>
          <w:rFonts w:ascii="IBM Plex Sans" w:hAnsi="IBM Plex Sans" w:cs="IBM Plex Sans"/>
          <w:b/>
          <w:color w:val="0B0E11"/>
          <w:sz w:val="21"/>
        </w:rPr>
        <w:t xml:space="preserve">   Data Lifecycle Governance Policy</w:t>
      </w:r>
    </w:p>
    <w:p>
      <w:pPr/>
      <w:r>
        <w:t>The organization shall develop and maintain a data lifecycle management policy that defines data stages (creation, usage, retention, archival, destruction) and governing principles for each stage.</w:t>
      </w:r>
    </w:p>
    <w:p>
      <w:pPr>
        <w:keepNext/>
        <w:spacing w:before="180"/>
      </w:pPr>
      <w:r>
        <w:rPr>
          <w:rFonts w:ascii="IBM Plex Mono" w:hAnsi="IBM Plex Mono" w:cs="IBM Plex Mono"/>
          <w:b/>
          <w:color w:val="0E8E66"/>
          <w:sz w:val="19"/>
        </w:rPr>
        <w:t>DLM-02</w:t>
      </w:r>
      <w:r>
        <w:rPr>
          <w:rFonts w:ascii="IBM Plex Sans" w:hAnsi="IBM Plex Sans" w:cs="IBM Plex Sans"/>
          <w:b/>
          <w:color w:val="0B0E11"/>
          <w:sz w:val="21"/>
        </w:rPr>
        <w:t xml:space="preserve">   Data Lifecycle Stage Definition</w:t>
      </w:r>
    </w:p>
    <w:p>
      <w:pPr/>
      <w:r>
        <w:t>Lifecycle stages shall be clearly defined and documented for all major data types (e.g., transactional, operational, analytical, backup), including required handling and retention conditions per stage.</w:t>
      </w:r>
    </w:p>
    <w:p>
      <w:pPr>
        <w:keepNext/>
        <w:spacing w:before="180"/>
      </w:pPr>
      <w:r>
        <w:rPr>
          <w:rFonts w:ascii="IBM Plex Mono" w:hAnsi="IBM Plex Mono" w:cs="IBM Plex Mono"/>
          <w:b/>
          <w:color w:val="0E8E66"/>
          <w:sz w:val="19"/>
        </w:rPr>
        <w:t>DLM-03</w:t>
      </w:r>
      <w:r>
        <w:rPr>
          <w:rFonts w:ascii="IBM Plex Sans" w:hAnsi="IBM Plex Sans" w:cs="IBM Plex Sans"/>
          <w:b/>
          <w:color w:val="0B0E11"/>
          <w:sz w:val="21"/>
        </w:rPr>
        <w:t xml:space="preserve">   Lifecycle Assignment Based on Data Type</w:t>
      </w:r>
    </w:p>
    <w:p>
      <w:pPr/>
      <w:r>
        <w:t>The organization shall assign appropriate lifecycle requirements to data types based on business function, legal/regulatory requirements, and criticality, ensuring consistent application across systems.</w:t>
      </w:r>
    </w:p>
    <w:p>
      <w:pPr>
        <w:keepNext/>
        <w:spacing w:before="180"/>
      </w:pPr>
      <w:r>
        <w:rPr>
          <w:rFonts w:ascii="IBM Plex Mono" w:hAnsi="IBM Plex Mono" w:cs="IBM Plex Mono"/>
          <w:b/>
          <w:color w:val="0E8E66"/>
          <w:sz w:val="19"/>
        </w:rPr>
        <w:t>DLM-04</w:t>
      </w:r>
      <w:r>
        <w:rPr>
          <w:rFonts w:ascii="IBM Plex Sans" w:hAnsi="IBM Plex Sans" w:cs="IBM Plex Sans"/>
          <w:b/>
          <w:color w:val="0B0E11"/>
          <w:sz w:val="21"/>
        </w:rPr>
        <w:t xml:space="preserve">   Retention Schedule Development</w:t>
      </w:r>
    </w:p>
    <w:p>
      <w:pPr/>
      <w:r>
        <w:t>Formal data retention schedules shall be developed and approved, specifying timeframes for active use, archival, and destruction, aligned with business needs and legal obligations.</w:t>
      </w:r>
    </w:p>
    <w:p>
      <w:pPr>
        <w:keepNext/>
        <w:spacing w:before="180"/>
      </w:pPr>
      <w:r>
        <w:rPr>
          <w:rFonts w:ascii="IBM Plex Mono" w:hAnsi="IBM Plex Mono" w:cs="IBM Plex Mono"/>
          <w:b/>
          <w:color w:val="0E8E66"/>
          <w:sz w:val="19"/>
        </w:rPr>
        <w:t>DLM-05</w:t>
      </w:r>
      <w:r>
        <w:rPr>
          <w:rFonts w:ascii="IBM Plex Sans" w:hAnsi="IBM Plex Sans" w:cs="IBM Plex Sans"/>
          <w:b/>
          <w:color w:val="0B0E11"/>
          <w:sz w:val="21"/>
        </w:rPr>
        <w:t xml:space="preserve">   Data Retention Enforcement Mechanisms</w:t>
      </w:r>
    </w:p>
    <w:p>
      <w:pPr/>
      <w:r>
        <w:t>Automated or manual controls shall be implemented to enforce retention periods, prevent premature deletion, and trigger archival or destruction at the appropriate lifecycle stage.</w:t>
      </w:r>
    </w:p>
    <w:p>
      <w:pPr>
        <w:keepNext/>
        <w:spacing w:before="180"/>
      </w:pPr>
      <w:r>
        <w:rPr>
          <w:rFonts w:ascii="IBM Plex Mono" w:hAnsi="IBM Plex Mono" w:cs="IBM Plex Mono"/>
          <w:b/>
          <w:color w:val="0E8E66"/>
          <w:sz w:val="19"/>
        </w:rPr>
        <w:t>DLM-06</w:t>
      </w:r>
      <w:r>
        <w:rPr>
          <w:rFonts w:ascii="IBM Plex Sans" w:hAnsi="IBM Plex Sans" w:cs="IBM Plex Sans"/>
          <w:b/>
          <w:color w:val="0B0E11"/>
          <w:sz w:val="21"/>
        </w:rPr>
        <w:t xml:space="preserve">   Data Archival Procedures</w:t>
      </w:r>
    </w:p>
    <w:p>
      <w:pPr/>
      <w:r>
        <w:t>Archived data shall be separated from active data and stored in a secure, cost-effective manner that supports retrieval if required by legal, operational, or audit purposes.</w:t>
      </w:r>
    </w:p>
    <w:p>
      <w:pPr>
        <w:keepNext/>
        <w:spacing w:before="180"/>
      </w:pPr>
      <w:r>
        <w:rPr>
          <w:rFonts w:ascii="IBM Plex Mono" w:hAnsi="IBM Plex Mono" w:cs="IBM Plex Mono"/>
          <w:b/>
          <w:color w:val="0E8E66"/>
          <w:sz w:val="19"/>
        </w:rPr>
        <w:t>DLM-07</w:t>
      </w:r>
      <w:r>
        <w:rPr>
          <w:rFonts w:ascii="IBM Plex Sans" w:hAnsi="IBM Plex Sans" w:cs="IBM Plex Sans"/>
          <w:b/>
          <w:color w:val="0B0E11"/>
          <w:sz w:val="21"/>
        </w:rPr>
        <w:t xml:space="preserve">   Archival Format &amp; Integrity Requirements</w:t>
      </w:r>
    </w:p>
    <w:p>
      <w:pPr/>
      <w:r>
        <w:t>Archived data shall be stored in formats that preserve integrity, usability, and readability for the duration of its retention, with periodic checks for bit rot or format obsolescence.</w:t>
      </w:r>
    </w:p>
    <w:p>
      <w:pPr>
        <w:keepNext/>
        <w:spacing w:before="180"/>
      </w:pPr>
      <w:r>
        <w:rPr>
          <w:rFonts w:ascii="IBM Plex Mono" w:hAnsi="IBM Plex Mono" w:cs="IBM Plex Mono"/>
          <w:b/>
          <w:color w:val="0E8E66"/>
          <w:sz w:val="19"/>
        </w:rPr>
        <w:t>DLM-08</w:t>
      </w:r>
      <w:r>
        <w:rPr>
          <w:rFonts w:ascii="IBM Plex Sans" w:hAnsi="IBM Plex Sans" w:cs="IBM Plex Sans"/>
          <w:b/>
          <w:color w:val="0B0E11"/>
          <w:sz w:val="21"/>
        </w:rPr>
        <w:t xml:space="preserve">   End-of-Life Data Destruction Policy</w:t>
      </w:r>
    </w:p>
    <w:p>
      <w:pPr/>
      <w:r>
        <w:t>The organization shall define and enforce destruction procedures for data reaching the end of its lifecycle, ensuring methods are secure, irreversible, and appropriate to data sensitivity.</w:t>
      </w:r>
    </w:p>
    <w:p>
      <w:pPr>
        <w:keepNext/>
        <w:spacing w:before="180"/>
      </w:pPr>
      <w:r>
        <w:rPr>
          <w:rFonts w:ascii="IBM Plex Mono" w:hAnsi="IBM Plex Mono" w:cs="IBM Plex Mono"/>
          <w:b/>
          <w:color w:val="0E8E66"/>
          <w:sz w:val="19"/>
        </w:rPr>
        <w:t>DLM-09</w:t>
      </w:r>
      <w:r>
        <w:rPr>
          <w:rFonts w:ascii="IBM Plex Sans" w:hAnsi="IBM Plex Sans" w:cs="IBM Plex Sans"/>
          <w:b/>
          <w:color w:val="0B0E11"/>
          <w:sz w:val="21"/>
        </w:rPr>
        <w:t xml:space="preserve">   Automated End-of-Life Triggers</w:t>
      </w:r>
    </w:p>
    <w:p>
      <w:pPr/>
      <w:r>
        <w:t>Systems shall be configured to identify and flag data that has reached its retention threshold, automatically initiating archival or destruction workflows in accordance with policy.</w:t>
      </w:r>
    </w:p>
    <w:p>
      <w:pPr>
        <w:keepNext/>
        <w:spacing w:before="180"/>
      </w:pPr>
      <w:r>
        <w:rPr>
          <w:rFonts w:ascii="IBM Plex Mono" w:hAnsi="IBM Plex Mono" w:cs="IBM Plex Mono"/>
          <w:b/>
          <w:color w:val="0E8E66"/>
          <w:sz w:val="19"/>
        </w:rPr>
        <w:t>DLM-10</w:t>
      </w:r>
      <w:r>
        <w:rPr>
          <w:rFonts w:ascii="IBM Plex Sans" w:hAnsi="IBM Plex Sans" w:cs="IBM Plex Sans"/>
          <w:b/>
          <w:color w:val="0B0E11"/>
          <w:sz w:val="21"/>
        </w:rPr>
        <w:t xml:space="preserve">   Legal Hold &amp; Litigation Readiness Exception Handling</w:t>
      </w:r>
    </w:p>
    <w:p>
      <w:pPr/>
      <w:r>
        <w:t>Lifecycle processes shall include mechanisms for legal hold exceptions, preventing destruction or archival of data subject to investigation, litigation, or regulatory review.</w:t>
      </w:r>
    </w:p>
    <w:p>
      <w:pPr>
        <w:keepNext/>
        <w:spacing w:before="180"/>
      </w:pPr>
      <w:r>
        <w:rPr>
          <w:rFonts w:ascii="IBM Plex Mono" w:hAnsi="IBM Plex Mono" w:cs="IBM Plex Mono"/>
          <w:b/>
          <w:color w:val="0E8E66"/>
          <w:sz w:val="19"/>
        </w:rPr>
        <w:t>DLM-11</w:t>
      </w:r>
      <w:r>
        <w:rPr>
          <w:rFonts w:ascii="IBM Plex Sans" w:hAnsi="IBM Plex Sans" w:cs="IBM Plex Sans"/>
          <w:b/>
          <w:color w:val="0B0E11"/>
          <w:sz w:val="21"/>
        </w:rPr>
        <w:t xml:space="preserve">   Backup &amp; Recovery Lifecycle Coordination</w:t>
      </w:r>
    </w:p>
    <w:p>
      <w:pPr/>
      <w:r>
        <w:t>Backup copies shall be included in data lifecycle plans, with clear rules on retention duration, rotation frequency, and destruction aligned with primary data lifecycle phases.</w:t>
      </w:r>
    </w:p>
    <w:p>
      <w:pPr>
        <w:keepNext/>
        <w:spacing w:before="180"/>
      </w:pPr>
      <w:r>
        <w:rPr>
          <w:rFonts w:ascii="IBM Plex Mono" w:hAnsi="IBM Plex Mono" w:cs="IBM Plex Mono"/>
          <w:b/>
          <w:color w:val="0E8E66"/>
          <w:sz w:val="19"/>
        </w:rPr>
        <w:t>DLM-12</w:t>
      </w:r>
      <w:r>
        <w:rPr>
          <w:rFonts w:ascii="IBM Plex Sans" w:hAnsi="IBM Plex Sans" w:cs="IBM Plex Sans"/>
          <w:b/>
          <w:color w:val="0B0E11"/>
          <w:sz w:val="21"/>
        </w:rPr>
        <w:t xml:space="preserve">   System Decommissioning Data Handling</w:t>
      </w:r>
    </w:p>
    <w:p>
      <w:pPr/>
      <w:r>
        <w:t>When decommissioning systems or applications, associated data shall be migrated, archived, or destroyed based on its lifecycle status and business continuity requirements.</w:t>
      </w:r>
    </w:p>
    <w:p>
      <w:pPr>
        <w:keepNext/>
        <w:spacing w:before="180"/>
      </w:pPr>
      <w:r>
        <w:rPr>
          <w:rFonts w:ascii="IBM Plex Mono" w:hAnsi="IBM Plex Mono" w:cs="IBM Plex Mono"/>
          <w:b/>
          <w:color w:val="0E8E66"/>
          <w:sz w:val="19"/>
        </w:rPr>
        <w:t>DLM-13</w:t>
      </w:r>
      <w:r>
        <w:rPr>
          <w:rFonts w:ascii="IBM Plex Sans" w:hAnsi="IBM Plex Sans" w:cs="IBM Plex Sans"/>
          <w:b/>
          <w:color w:val="0B0E11"/>
          <w:sz w:val="21"/>
        </w:rPr>
        <w:t xml:space="preserve">   Cross-Border Lifecycle Compliance</w:t>
      </w:r>
    </w:p>
    <w:p>
      <w:pPr/>
      <w:r>
        <w:t>Data lifecycle enforcement shall account for regional regulatory requirements, including cross-border transfer constraints and jurisdiction-specific retention/destruction mandates.</w:t>
      </w:r>
    </w:p>
    <w:p>
      <w:pPr>
        <w:keepNext/>
        <w:spacing w:before="180"/>
      </w:pPr>
      <w:r>
        <w:rPr>
          <w:rFonts w:ascii="IBM Plex Mono" w:hAnsi="IBM Plex Mono" w:cs="IBM Plex Mono"/>
          <w:b/>
          <w:color w:val="0E8E66"/>
          <w:sz w:val="19"/>
        </w:rPr>
        <w:t>DLM-14</w:t>
      </w:r>
      <w:r>
        <w:rPr>
          <w:rFonts w:ascii="IBM Plex Sans" w:hAnsi="IBM Plex Sans" w:cs="IBM Plex Sans"/>
          <w:b/>
          <w:color w:val="0B0E11"/>
          <w:sz w:val="21"/>
        </w:rPr>
        <w:t xml:space="preserve">   Ownership-Driven Lifecycle Stewardship</w:t>
      </w:r>
    </w:p>
    <w:p>
      <w:pPr/>
      <w:r>
        <w:t>Data owners shall be responsible for defining, reviewing, and approving lifecycle requirements for their respective data domains, in coordination with legal and compliance teams.</w:t>
      </w:r>
    </w:p>
    <w:p>
      <w:pPr>
        <w:keepNext/>
        <w:spacing w:before="180"/>
      </w:pPr>
      <w:r>
        <w:rPr>
          <w:rFonts w:ascii="IBM Plex Mono" w:hAnsi="IBM Plex Mono" w:cs="IBM Plex Mono"/>
          <w:b/>
          <w:color w:val="0E8E66"/>
          <w:sz w:val="19"/>
        </w:rPr>
        <w:t>DLM-15</w:t>
      </w:r>
      <w:r>
        <w:rPr>
          <w:rFonts w:ascii="IBM Plex Sans" w:hAnsi="IBM Plex Sans" w:cs="IBM Plex Sans"/>
          <w:b/>
          <w:color w:val="0B0E11"/>
          <w:sz w:val="21"/>
        </w:rPr>
        <w:t xml:space="preserve">   Business Process Integration of DLM</w:t>
      </w:r>
    </w:p>
    <w:p>
      <w:pPr/>
      <w:r>
        <w:t>Data lifecycle rules shall be embedded into business processes and workflows, ensuring lifecycle actions (e.g., archival, deletion) occur without disruption to operations.</w:t>
      </w:r>
    </w:p>
    <w:p>
      <w:pPr>
        <w:keepNext/>
        <w:spacing w:before="180"/>
      </w:pPr>
      <w:r>
        <w:rPr>
          <w:rFonts w:ascii="IBM Plex Mono" w:hAnsi="IBM Plex Mono" w:cs="IBM Plex Mono"/>
          <w:b/>
          <w:color w:val="0E8E66"/>
          <w:sz w:val="19"/>
        </w:rPr>
        <w:t>DLM-16</w:t>
      </w:r>
      <w:r>
        <w:rPr>
          <w:rFonts w:ascii="IBM Plex Sans" w:hAnsi="IBM Plex Sans" w:cs="IBM Plex Sans"/>
          <w:b/>
          <w:color w:val="0B0E11"/>
          <w:sz w:val="21"/>
        </w:rPr>
        <w:t xml:space="preserve">   Data Storage Tiering Based on Lifecycle Phase</w:t>
      </w:r>
    </w:p>
    <w:p>
      <w:pPr/>
      <w:r>
        <w:t>The organization shall implement data storage strategies (e.g., hot, warm, cold storage) aligned with the data’s current lifecycle stage to optimize cost, performance, and risk.</w:t>
      </w:r>
    </w:p>
    <w:p>
      <w:pPr>
        <w:keepNext/>
        <w:spacing w:before="180"/>
      </w:pPr>
      <w:r>
        <w:rPr>
          <w:rFonts w:ascii="IBM Plex Mono" w:hAnsi="IBM Plex Mono" w:cs="IBM Plex Mono"/>
          <w:b/>
          <w:color w:val="0E8E66"/>
          <w:sz w:val="19"/>
        </w:rPr>
        <w:t>DLM-17</w:t>
      </w:r>
      <w:r>
        <w:rPr>
          <w:rFonts w:ascii="IBM Plex Sans" w:hAnsi="IBM Plex Sans" w:cs="IBM Plex Sans"/>
          <w:b/>
          <w:color w:val="0B0E11"/>
          <w:sz w:val="21"/>
        </w:rPr>
        <w:t xml:space="preserve">   Periodic Lifecycle Policy Review &amp; Updates</w:t>
      </w:r>
    </w:p>
    <w:p>
      <w:pPr/>
      <w:r>
        <w:t>Lifecycle policies and schedules shall be reviewed at least annually to reflect changes in regulatory obligations, business requirements, or information systems architecture.</w:t>
      </w:r>
    </w:p>
    <w:p>
      <w:pPr>
        <w:keepNext/>
        <w:spacing w:before="180"/>
      </w:pPr>
      <w:r>
        <w:rPr>
          <w:rFonts w:ascii="IBM Plex Mono" w:hAnsi="IBM Plex Mono" w:cs="IBM Plex Mono"/>
          <w:b/>
          <w:color w:val="0E8E66"/>
          <w:sz w:val="19"/>
        </w:rPr>
        <w:t>DLM-18</w:t>
      </w:r>
      <w:r>
        <w:rPr>
          <w:rFonts w:ascii="IBM Plex Sans" w:hAnsi="IBM Plex Sans" w:cs="IBM Plex Sans"/>
          <w:b/>
          <w:color w:val="0B0E11"/>
          <w:sz w:val="21"/>
        </w:rPr>
        <w:t xml:space="preserve">   Shadow IT Lifecycle Control Enforcement</w:t>
      </w:r>
    </w:p>
    <w:p>
      <w:pPr/>
      <w:r>
        <w:t>Processes shall be established to identify data stored or processed in unauthorized systems or applications (shadow IT) and apply appropriate lifecycle rules or remediation.</w:t>
      </w:r>
    </w:p>
    <w:p>
      <w:pPr>
        <w:keepNext/>
        <w:spacing w:before="180"/>
      </w:pPr>
      <w:r>
        <w:rPr>
          <w:rFonts w:ascii="IBM Plex Mono" w:hAnsi="IBM Plex Mono" w:cs="IBM Plex Mono"/>
          <w:b/>
          <w:color w:val="0E8E66"/>
          <w:sz w:val="19"/>
        </w:rPr>
        <w:t>DLM-19</w:t>
      </w:r>
      <w:r>
        <w:rPr>
          <w:rFonts w:ascii="IBM Plex Sans" w:hAnsi="IBM Plex Sans" w:cs="IBM Plex Sans"/>
          <w:b/>
          <w:color w:val="0B0E11"/>
          <w:sz w:val="21"/>
        </w:rPr>
        <w:t xml:space="preserve">   Lifecycle-Aware Data Migration Planning</w:t>
      </w:r>
    </w:p>
    <w:p>
      <w:pPr/>
      <w:r>
        <w:t>When migrating data between systems or platforms, lifecycle stage, retention clock, and destruction requirements shall be preserved, validated, and documented.</w:t>
      </w:r>
    </w:p>
    <w:p>
      <w:pPr>
        <w:keepNext/>
        <w:spacing w:before="180"/>
      </w:pPr>
      <w:r>
        <w:rPr>
          <w:rFonts w:ascii="IBM Plex Mono" w:hAnsi="IBM Plex Mono" w:cs="IBM Plex Mono"/>
          <w:b/>
          <w:color w:val="0E8E66"/>
          <w:sz w:val="19"/>
        </w:rPr>
        <w:t>DLM-20</w:t>
      </w:r>
      <w:r>
        <w:rPr>
          <w:rFonts w:ascii="IBM Plex Sans" w:hAnsi="IBM Plex Sans" w:cs="IBM Plex Sans"/>
          <w:b/>
          <w:color w:val="0B0E11"/>
          <w:sz w:val="21"/>
        </w:rPr>
        <w:t xml:space="preserve">   Lifecycle Monitoring &amp; Reporting</w:t>
      </w:r>
    </w:p>
    <w:p>
      <w:pPr/>
      <w:r>
        <w:t>The organization shall implement monitoring and reporting mechanisms that track data across lifecycle stages, provide transparency into pending actions, and alert on violations.</w:t>
      </w:r>
    </w:p>
    <w:p>
      <w:pPr>
        <w:keepNext/>
        <w:spacing w:before="180"/>
      </w:pPr>
      <w:r>
        <w:rPr>
          <w:rFonts w:ascii="IBM Plex Mono" w:hAnsi="IBM Plex Mono" w:cs="IBM Plex Mono"/>
          <w:b/>
          <w:color w:val="0E8E66"/>
          <w:sz w:val="19"/>
        </w:rPr>
        <w:t>DLM-21</w:t>
      </w:r>
      <w:r>
        <w:rPr>
          <w:rFonts w:ascii="IBM Plex Sans" w:hAnsi="IBM Plex Sans" w:cs="IBM Plex Sans"/>
          <w:b/>
          <w:color w:val="0B0E11"/>
          <w:sz w:val="21"/>
        </w:rPr>
        <w:t xml:space="preserve">   Data Minimization &amp; Lifecycle Entry Validation</w:t>
      </w:r>
    </w:p>
    <w:p>
      <w:pPr/>
      <w:r>
        <w:t>Prior to data entering the lifecycle process, mechanisms shall be implemented to evaluate necessity, ensuring data collected or generated is minimal and purposeful for the intended function.</w:t>
      </w:r>
    </w:p>
    <w:p>
      <w:pPr>
        <w:pStyle w:val="Kicker"/>
      </w:pPr>
      <w:r>
        <w:t>// control family</w:t>
      </w:r>
    </w:p>
    <w:p>
      <w:pPr>
        <w:pStyle w:val="Heading2"/>
      </w:pPr>
      <w:r>
        <w:t>Data Residency &amp; Sovereignty (DRS)</w:t>
      </w:r>
    </w:p>
    <w:p>
      <w:pPr/>
      <w:r>
        <w:t>The Data Residency &amp; Sovereignty (DRS) control family addresses the geographic and jurisdictional considerations that govern where data is stored, processed, and transmitted. These controls ensure that organizations adhere to legal, contractual, and regulatory requirements specific to national and regional boundaries, while maintaining visibility and accountability for cross-border data flows. DRS emphasizes jurisdictional control, government access risk, and location-aware security postures, independent from classification or lifecycle status.</w:t>
      </w:r>
    </w:p>
    <w:p>
      <w:pPr>
        <w:keepNext/>
        <w:spacing w:before="180"/>
      </w:pPr>
      <w:r>
        <w:rPr>
          <w:rFonts w:ascii="IBM Plex Mono" w:hAnsi="IBM Plex Mono" w:cs="IBM Plex Mono"/>
          <w:b/>
          <w:color w:val="0E8E66"/>
          <w:sz w:val="19"/>
        </w:rPr>
        <w:t>DRS-01</w:t>
      </w:r>
      <w:r>
        <w:rPr>
          <w:rFonts w:ascii="IBM Plex Sans" w:hAnsi="IBM Plex Sans" w:cs="IBM Plex Sans"/>
          <w:b/>
          <w:color w:val="0B0E11"/>
          <w:sz w:val="21"/>
        </w:rPr>
        <w:t xml:space="preserve">   Data Residency Policy Development</w:t>
      </w:r>
    </w:p>
    <w:p>
      <w:pPr/>
      <w:r>
        <w:t>The organization shall establish and maintain a data residency policy that defines requirements and restrictions for data storage, processing, and transmission based on geographic and jurisdictional constraints.</w:t>
      </w:r>
    </w:p>
    <w:p>
      <w:pPr>
        <w:keepNext/>
        <w:spacing w:before="180"/>
      </w:pPr>
      <w:r>
        <w:rPr>
          <w:rFonts w:ascii="IBM Plex Mono" w:hAnsi="IBM Plex Mono" w:cs="IBM Plex Mono"/>
          <w:b/>
          <w:color w:val="0E8E66"/>
          <w:sz w:val="19"/>
        </w:rPr>
        <w:t>DRS-02</w:t>
      </w:r>
      <w:r>
        <w:rPr>
          <w:rFonts w:ascii="IBM Plex Sans" w:hAnsi="IBM Plex Sans" w:cs="IBM Plex Sans"/>
          <w:b/>
          <w:color w:val="0B0E11"/>
          <w:sz w:val="21"/>
        </w:rPr>
        <w:t xml:space="preserve">   Jurisdictional Mapping of Data Assets</w:t>
      </w:r>
    </w:p>
    <w:p>
      <w:pPr/>
      <w:r>
        <w:t>The organization shall maintain a current map of all geographic locations where data is stored, processed, or transmitted, including cloud data centers, backups, and third-party platforms.</w:t>
      </w:r>
    </w:p>
    <w:p>
      <w:pPr>
        <w:keepNext/>
        <w:spacing w:before="180"/>
      </w:pPr>
      <w:r>
        <w:rPr>
          <w:rFonts w:ascii="IBM Plex Mono" w:hAnsi="IBM Plex Mono" w:cs="IBM Plex Mono"/>
          <w:b/>
          <w:color w:val="0E8E66"/>
          <w:sz w:val="19"/>
        </w:rPr>
        <w:t>DRS-03</w:t>
      </w:r>
      <w:r>
        <w:rPr>
          <w:rFonts w:ascii="IBM Plex Sans" w:hAnsi="IBM Plex Sans" w:cs="IBM Plex Sans"/>
          <w:b/>
          <w:color w:val="0B0E11"/>
          <w:sz w:val="21"/>
        </w:rPr>
        <w:t xml:space="preserve">   Data Sovereignty Impact Assessment</w:t>
      </w:r>
    </w:p>
    <w:p>
      <w:pPr/>
      <w:r>
        <w:t>A formal impact assessment shall be conducted to evaluate the legal and regulatory implications of storing or processing data in specific jurisdictions, including government access laws and data localization mandates.</w:t>
      </w:r>
    </w:p>
    <w:p>
      <w:pPr>
        <w:keepNext/>
        <w:spacing w:before="180"/>
      </w:pPr>
      <w:r>
        <w:rPr>
          <w:rFonts w:ascii="IBM Plex Mono" w:hAnsi="IBM Plex Mono" w:cs="IBM Plex Mono"/>
          <w:b/>
          <w:color w:val="0E8E66"/>
          <w:sz w:val="19"/>
        </w:rPr>
        <w:t>DRS-04</w:t>
      </w:r>
      <w:r>
        <w:rPr>
          <w:rFonts w:ascii="IBM Plex Sans" w:hAnsi="IBM Plex Sans" w:cs="IBM Plex Sans"/>
          <w:b/>
          <w:color w:val="0B0E11"/>
          <w:sz w:val="21"/>
        </w:rPr>
        <w:t xml:space="preserve">   Residency Requirements for Regulated Data Types</w:t>
      </w:r>
    </w:p>
    <w:p>
      <w:pPr/>
      <w:r>
        <w:t>The organization shall define and enforce residency constraints for regulated data types in accordance with applicable laws and industry regulations.</w:t>
      </w:r>
    </w:p>
    <w:p>
      <w:pPr>
        <w:keepNext/>
        <w:spacing w:before="180"/>
      </w:pPr>
      <w:r>
        <w:rPr>
          <w:rFonts w:ascii="IBM Plex Mono" w:hAnsi="IBM Plex Mono" w:cs="IBM Plex Mono"/>
          <w:b/>
          <w:color w:val="0E8E66"/>
          <w:sz w:val="19"/>
        </w:rPr>
        <w:t>DRS-05</w:t>
      </w:r>
      <w:r>
        <w:rPr>
          <w:rFonts w:ascii="IBM Plex Sans" w:hAnsi="IBM Plex Sans" w:cs="IBM Plex Sans"/>
          <w:b/>
          <w:color w:val="0B0E11"/>
          <w:sz w:val="21"/>
        </w:rPr>
        <w:t xml:space="preserve">   Cross-Border Data Transfer Controls</w:t>
      </w:r>
    </w:p>
    <w:p>
      <w:pPr/>
      <w:r>
        <w:t>The organization shall implement controls to monitor, log, and restrict cross-border data transfers, ensuring compliance with data transfer mechanisms such as SCCs, BCRs, or international agreements.</w:t>
      </w:r>
    </w:p>
    <w:p>
      <w:pPr>
        <w:keepNext/>
        <w:spacing w:before="180"/>
      </w:pPr>
      <w:r>
        <w:rPr>
          <w:rFonts w:ascii="IBM Plex Mono" w:hAnsi="IBM Plex Mono" w:cs="IBM Plex Mono"/>
          <w:b/>
          <w:color w:val="0E8E66"/>
          <w:sz w:val="19"/>
        </w:rPr>
        <w:t>DRS-06</w:t>
      </w:r>
      <w:r>
        <w:rPr>
          <w:rFonts w:ascii="IBM Plex Sans" w:hAnsi="IBM Plex Sans" w:cs="IBM Plex Sans"/>
          <w:b/>
          <w:color w:val="0B0E11"/>
          <w:sz w:val="21"/>
        </w:rPr>
        <w:t xml:space="preserve">   Cloud Provider Residency Declarations</w:t>
      </w:r>
    </w:p>
    <w:p>
      <w:pPr/>
      <w:r>
        <w:t>Cloud service providers shall be required to disclose physical and logical locations of data storage and processing, and to provide mechanisms for region-specific data localization where applicable.</w:t>
      </w:r>
    </w:p>
    <w:p>
      <w:pPr>
        <w:keepNext/>
        <w:spacing w:before="180"/>
      </w:pPr>
      <w:r>
        <w:rPr>
          <w:rFonts w:ascii="IBM Plex Mono" w:hAnsi="IBM Plex Mono" w:cs="IBM Plex Mono"/>
          <w:b/>
          <w:color w:val="0E8E66"/>
          <w:sz w:val="19"/>
        </w:rPr>
        <w:t>DRS-07</w:t>
      </w:r>
      <w:r>
        <w:rPr>
          <w:rFonts w:ascii="IBM Plex Sans" w:hAnsi="IBM Plex Sans" w:cs="IBM Plex Sans"/>
          <w:b/>
          <w:color w:val="0B0E11"/>
          <w:sz w:val="21"/>
        </w:rPr>
        <w:t xml:space="preserve">   Data Sovereignty Clauses in Contracts</w:t>
      </w:r>
    </w:p>
    <w:p>
      <w:pPr/>
      <w:r>
        <w:t>Vendor and third-party contracts shall include language that defines permitted data residency locations, handling obligations, and jurisdictional control boundaries.</w:t>
      </w:r>
    </w:p>
    <w:p>
      <w:pPr>
        <w:keepNext/>
        <w:spacing w:before="180"/>
      </w:pPr>
      <w:r>
        <w:rPr>
          <w:rFonts w:ascii="IBM Plex Mono" w:hAnsi="IBM Plex Mono" w:cs="IBM Plex Mono"/>
          <w:b/>
          <w:color w:val="0E8E66"/>
          <w:sz w:val="19"/>
        </w:rPr>
        <w:t>DRS-08</w:t>
      </w:r>
      <w:r>
        <w:rPr>
          <w:rFonts w:ascii="IBM Plex Sans" w:hAnsi="IBM Plex Sans" w:cs="IBM Plex Sans"/>
          <w:b/>
          <w:color w:val="0B0E11"/>
          <w:sz w:val="21"/>
        </w:rPr>
        <w:t xml:space="preserve">   Residency Enforcement through Technical Controls</w:t>
      </w:r>
    </w:p>
    <w:p>
      <w:pPr/>
      <w:r>
        <w:t>The organization shall deploy technical controls (e.g., geofencing, region-locked storage, traffic routing policies) to enforce data residency requirements at the infrastructure and application layers.</w:t>
      </w:r>
    </w:p>
    <w:p>
      <w:pPr>
        <w:keepNext/>
        <w:spacing w:before="180"/>
      </w:pPr>
      <w:r>
        <w:rPr>
          <w:rFonts w:ascii="IBM Plex Mono" w:hAnsi="IBM Plex Mono" w:cs="IBM Plex Mono"/>
          <w:b/>
          <w:color w:val="0E8E66"/>
          <w:sz w:val="19"/>
        </w:rPr>
        <w:t>DRS-09</w:t>
      </w:r>
      <w:r>
        <w:rPr>
          <w:rFonts w:ascii="IBM Plex Sans" w:hAnsi="IBM Plex Sans" w:cs="IBM Plex Sans"/>
          <w:b/>
          <w:color w:val="0B0E11"/>
          <w:sz w:val="21"/>
        </w:rPr>
        <w:t xml:space="preserve">   Sovereignty Risk in Governmental Access Scenarios</w:t>
      </w:r>
    </w:p>
    <w:p>
      <w:pPr/>
      <w:r>
        <w:t>The organization shall evaluate and document the risk of foreign government access to data based on where data resides or transits, and implement compensating controls as needed.</w:t>
      </w:r>
    </w:p>
    <w:p>
      <w:pPr>
        <w:keepNext/>
        <w:spacing w:before="180"/>
      </w:pPr>
      <w:r>
        <w:rPr>
          <w:rFonts w:ascii="IBM Plex Mono" w:hAnsi="IBM Plex Mono" w:cs="IBM Plex Mono"/>
          <w:b/>
          <w:color w:val="0E8E66"/>
          <w:sz w:val="19"/>
        </w:rPr>
        <w:t>DRS-10</w:t>
      </w:r>
      <w:r>
        <w:rPr>
          <w:rFonts w:ascii="IBM Plex Sans" w:hAnsi="IBM Plex Sans" w:cs="IBM Plex Sans"/>
          <w:b/>
          <w:color w:val="0B0E11"/>
          <w:sz w:val="21"/>
        </w:rPr>
        <w:t xml:space="preserve">   Residency-Aware Data Segmentation</w:t>
      </w:r>
    </w:p>
    <w:p>
      <w:pPr/>
      <w:r>
        <w:t>Data shall be segmented logically and/or physically based on residency requirements, ensuring that data subject to localization mandates is isolated from unrestricted data.</w:t>
      </w:r>
    </w:p>
    <w:p>
      <w:pPr>
        <w:keepNext/>
        <w:spacing w:before="180"/>
      </w:pPr>
      <w:r>
        <w:rPr>
          <w:rFonts w:ascii="IBM Plex Mono" w:hAnsi="IBM Plex Mono" w:cs="IBM Plex Mono"/>
          <w:b/>
          <w:color w:val="0E8E66"/>
          <w:sz w:val="19"/>
        </w:rPr>
        <w:t>DRS-11</w:t>
      </w:r>
      <w:r>
        <w:rPr>
          <w:rFonts w:ascii="IBM Plex Sans" w:hAnsi="IBM Plex Sans" w:cs="IBM Plex Sans"/>
          <w:b/>
          <w:color w:val="0B0E11"/>
          <w:sz w:val="21"/>
        </w:rPr>
        <w:t xml:space="preserve">   Data Localization Exceptions Process</w:t>
      </w:r>
    </w:p>
    <w:p>
      <w:pPr/>
      <w:r>
        <w:t>An approval process shall be established for exception requests to store or process data outside of its mandated jurisdiction, requiring legal, security, and business justification.</w:t>
      </w:r>
    </w:p>
    <w:p>
      <w:pPr>
        <w:keepNext/>
        <w:spacing w:before="180"/>
      </w:pPr>
      <w:r>
        <w:rPr>
          <w:rFonts w:ascii="IBM Plex Mono" w:hAnsi="IBM Plex Mono" w:cs="IBM Plex Mono"/>
          <w:b/>
          <w:color w:val="0E8E66"/>
          <w:sz w:val="19"/>
        </w:rPr>
        <w:t>DRS-12</w:t>
      </w:r>
      <w:r>
        <w:rPr>
          <w:rFonts w:ascii="IBM Plex Sans" w:hAnsi="IBM Plex Sans" w:cs="IBM Plex Sans"/>
          <w:b/>
          <w:color w:val="0B0E11"/>
          <w:sz w:val="21"/>
        </w:rPr>
        <w:t xml:space="preserve">   Residency Considerations in M&amp;A and Divestitures</w:t>
      </w:r>
    </w:p>
    <w:p>
      <w:pPr/>
      <w:r>
        <w:t>Data residency risks shall be assessed during mergers, acquisitions, or divestitures, with emphasis on inherited data locations, cloud regions, and legal jurisdiction changes.</w:t>
      </w:r>
    </w:p>
    <w:p>
      <w:pPr>
        <w:keepNext/>
        <w:spacing w:before="180"/>
      </w:pPr>
      <w:r>
        <w:rPr>
          <w:rFonts w:ascii="IBM Plex Mono" w:hAnsi="IBM Plex Mono" w:cs="IBM Plex Mono"/>
          <w:b/>
          <w:color w:val="0E8E66"/>
          <w:sz w:val="19"/>
        </w:rPr>
        <w:t>DRS-13</w:t>
      </w:r>
      <w:r>
        <w:rPr>
          <w:rFonts w:ascii="IBM Plex Sans" w:hAnsi="IBM Plex Sans" w:cs="IBM Plex Sans"/>
          <w:b/>
          <w:color w:val="0B0E11"/>
          <w:sz w:val="21"/>
        </w:rPr>
        <w:t xml:space="preserve">   Residency Verification in System Procurement</w:t>
      </w:r>
    </w:p>
    <w:p>
      <w:pPr/>
      <w:r>
        <w:t>Prior to procuring or deploying new systems or services, data residency and sovereignty considerations shall be evaluated, documented, and approved.</w:t>
      </w:r>
    </w:p>
    <w:p>
      <w:pPr>
        <w:keepNext/>
        <w:spacing w:before="180"/>
      </w:pPr>
      <w:r>
        <w:rPr>
          <w:rFonts w:ascii="IBM Plex Mono" w:hAnsi="IBM Plex Mono" w:cs="IBM Plex Mono"/>
          <w:b/>
          <w:color w:val="0E8E66"/>
          <w:sz w:val="19"/>
        </w:rPr>
        <w:t>DRS-14</w:t>
      </w:r>
      <w:r>
        <w:rPr>
          <w:rFonts w:ascii="IBM Plex Sans" w:hAnsi="IBM Plex Sans" w:cs="IBM Plex Sans"/>
          <w:b/>
          <w:color w:val="0B0E11"/>
          <w:sz w:val="21"/>
        </w:rPr>
        <w:t xml:space="preserve">   Residency Constraints in Backup and Disaster Recovery</w:t>
      </w:r>
    </w:p>
    <w:p>
      <w:pPr/>
      <w:r>
        <w:t>Data backups and disaster recovery processes shall maintain compliance with residency requirements, including the geographic location of backup sites and recovery systems.</w:t>
      </w:r>
    </w:p>
    <w:p>
      <w:pPr>
        <w:keepNext/>
        <w:spacing w:before="180"/>
      </w:pPr>
      <w:r>
        <w:rPr>
          <w:rFonts w:ascii="IBM Plex Mono" w:hAnsi="IBM Plex Mono" w:cs="IBM Plex Mono"/>
          <w:b/>
          <w:color w:val="0E8E66"/>
          <w:sz w:val="19"/>
        </w:rPr>
        <w:t>DRS-15</w:t>
      </w:r>
      <w:r>
        <w:rPr>
          <w:rFonts w:ascii="IBM Plex Sans" w:hAnsi="IBM Plex Sans" w:cs="IBM Plex Sans"/>
          <w:b/>
          <w:color w:val="0B0E11"/>
          <w:sz w:val="21"/>
        </w:rPr>
        <w:t xml:space="preserve">   Real-Time Visibility into Data Location</w:t>
      </w:r>
    </w:p>
    <w:p>
      <w:pPr/>
      <w:r>
        <w:t>Systems shall provide real-time visibility into the geographic location of stored and processed data, including alerts on unauthorized movement or region changes.</w:t>
      </w:r>
    </w:p>
    <w:p>
      <w:pPr>
        <w:keepNext/>
        <w:spacing w:before="180"/>
      </w:pPr>
      <w:r>
        <w:rPr>
          <w:rFonts w:ascii="IBM Plex Mono" w:hAnsi="IBM Plex Mono" w:cs="IBM Plex Mono"/>
          <w:b/>
          <w:color w:val="0E8E66"/>
          <w:sz w:val="19"/>
        </w:rPr>
        <w:t>DRS-16</w:t>
      </w:r>
      <w:r>
        <w:rPr>
          <w:rFonts w:ascii="IBM Plex Sans" w:hAnsi="IBM Plex Sans" w:cs="IBM Plex Sans"/>
          <w:b/>
          <w:color w:val="0B0E11"/>
          <w:sz w:val="21"/>
        </w:rPr>
        <w:t xml:space="preserve">   International Data Transmission Logging</w:t>
      </w:r>
    </w:p>
    <w:p>
      <w:pPr/>
      <w:r>
        <w:t>All international transmissions of sensitive or regulated data shall be logged, monitored, and reviewed for unauthorized transfers or violations of residency policies.</w:t>
      </w:r>
    </w:p>
    <w:p>
      <w:pPr>
        <w:keepNext/>
        <w:spacing w:before="180"/>
      </w:pPr>
      <w:r>
        <w:rPr>
          <w:rFonts w:ascii="IBM Plex Mono" w:hAnsi="IBM Plex Mono" w:cs="IBM Plex Mono"/>
          <w:b/>
          <w:color w:val="0E8E66"/>
          <w:sz w:val="19"/>
        </w:rPr>
        <w:t>DRS-17</w:t>
      </w:r>
      <w:r>
        <w:rPr>
          <w:rFonts w:ascii="IBM Plex Sans" w:hAnsi="IBM Plex Sans" w:cs="IBM Plex Sans"/>
          <w:b/>
          <w:color w:val="0B0E11"/>
          <w:sz w:val="21"/>
        </w:rPr>
        <w:t xml:space="preserve">   Role of Local Regulations in Data Lifecycle Planning</w:t>
      </w:r>
    </w:p>
    <w:p>
      <w:pPr/>
      <w:r>
        <w:t>Residency and sovereignty requirements shall be factored into data lifecycle planning, particularly for archival, transfer, and destruction phases across multiple jurisdictions.</w:t>
      </w:r>
    </w:p>
    <w:p>
      <w:pPr>
        <w:keepNext/>
        <w:spacing w:before="180"/>
      </w:pPr>
      <w:r>
        <w:rPr>
          <w:rFonts w:ascii="IBM Plex Mono" w:hAnsi="IBM Plex Mono" w:cs="IBM Plex Mono"/>
          <w:b/>
          <w:color w:val="0E8E66"/>
          <w:sz w:val="19"/>
        </w:rPr>
        <w:t>DRS-18</w:t>
      </w:r>
      <w:r>
        <w:rPr>
          <w:rFonts w:ascii="IBM Plex Sans" w:hAnsi="IBM Plex Sans" w:cs="IBM Plex Sans"/>
          <w:b/>
          <w:color w:val="0B0E11"/>
          <w:sz w:val="21"/>
        </w:rPr>
        <w:t xml:space="preserve">   Localization for High-Risk Geographies</w:t>
      </w:r>
    </w:p>
    <w:p>
      <w:pPr/>
      <w:r>
        <w:t>The organization shall define additional controls for data residing in high-risk jurisdictions, including enhanced encryption, monitoring, or migration strategies to safer regions.</w:t>
      </w:r>
    </w:p>
    <w:p>
      <w:pPr>
        <w:keepNext/>
        <w:spacing w:before="180"/>
      </w:pPr>
      <w:r>
        <w:rPr>
          <w:rFonts w:ascii="IBM Plex Mono" w:hAnsi="IBM Plex Mono" w:cs="IBM Plex Mono"/>
          <w:b/>
          <w:color w:val="0E8E66"/>
          <w:sz w:val="19"/>
        </w:rPr>
        <w:t>DRS-19</w:t>
      </w:r>
      <w:r>
        <w:rPr>
          <w:rFonts w:ascii="IBM Plex Sans" w:hAnsi="IBM Plex Sans" w:cs="IBM Plex Sans"/>
          <w:b/>
          <w:color w:val="0B0E11"/>
          <w:sz w:val="21"/>
        </w:rPr>
        <w:t xml:space="preserve">   Residency Review in Compliance Audits</w:t>
      </w:r>
    </w:p>
    <w:p>
      <w:pPr/>
      <w:r>
        <w:t>Internal and external audits shall include verification of data residency adherence, including sampling of system logs, infrastructure configurations, and vendor claims.</w:t>
      </w:r>
    </w:p>
    <w:p>
      <w:pPr>
        <w:keepNext/>
        <w:spacing w:before="180"/>
      </w:pPr>
      <w:r>
        <w:rPr>
          <w:rFonts w:ascii="IBM Plex Mono" w:hAnsi="IBM Plex Mono" w:cs="IBM Plex Mono"/>
          <w:b/>
          <w:color w:val="0E8E66"/>
          <w:sz w:val="19"/>
        </w:rPr>
        <w:t>DRS-20</w:t>
      </w:r>
      <w:r>
        <w:rPr>
          <w:rFonts w:ascii="IBM Plex Sans" w:hAnsi="IBM Plex Sans" w:cs="IBM Plex Sans"/>
          <w:b/>
          <w:color w:val="0B0E11"/>
          <w:sz w:val="21"/>
        </w:rPr>
        <w:t xml:space="preserve">   Regional Legal Change Monitoring</w:t>
      </w:r>
    </w:p>
    <w:p>
      <w:pPr/>
      <w:r>
        <w:t>The organization shall establish a mechanism for monitoring legal and regulatory changes related to data residency and sovereignty across all jurisdictions in which it operates.</w:t>
      </w:r>
    </w:p>
    <w:p>
      <w:pPr>
        <w:keepNext/>
        <w:spacing w:before="180"/>
      </w:pPr>
      <w:r>
        <w:rPr>
          <w:rFonts w:ascii="IBM Plex Mono" w:hAnsi="IBM Plex Mono" w:cs="IBM Plex Mono"/>
          <w:b/>
          <w:color w:val="0E8E66"/>
          <w:sz w:val="19"/>
        </w:rPr>
        <w:t>DRS-21</w:t>
      </w:r>
      <w:r>
        <w:rPr>
          <w:rFonts w:ascii="IBM Plex Sans" w:hAnsi="IBM Plex Sans" w:cs="IBM Plex Sans"/>
          <w:b/>
          <w:color w:val="0B0E11"/>
          <w:sz w:val="21"/>
        </w:rPr>
        <w:t xml:space="preserve">   Public Sector &amp; National Contract Compliance</w:t>
      </w:r>
    </w:p>
    <w:p>
      <w:pPr/>
      <w:r>
        <w:t>For public sector or national contracts, the organization shall implement controls ensuring strict compliance with country-specific data sovereignty mandates and hosting restrictions.</w:t>
      </w:r>
    </w:p>
    <w:p>
      <w:pPr>
        <w:pStyle w:val="Kicker"/>
      </w:pPr>
      <w:r>
        <w:t>// control family</w:t>
      </w:r>
    </w:p>
    <w:p>
      <w:pPr>
        <w:pStyle w:val="Heading2"/>
      </w:pPr>
      <w:r>
        <w:t>User Data Rights Management (UDR)</w:t>
      </w:r>
    </w:p>
    <w:p>
      <w:pPr/>
      <w:r>
        <w:t>User Data Rights Management (UDR) focuses on the organizational ability to operationalize and honor data subject rights as defined by privacy regulations, contractual obligations, or internal policy. These rights include, but are not limited to, access, rectification, erasure, restriction of processing, portability, and objection. UDR ensures the organization implements mechanisms that uphold individual autonomy and transparency regarding how their personal data is handled, independent of how that data is classified, where it resides, or its lifecycle status.</w:t>
      </w:r>
    </w:p>
    <w:p>
      <w:pPr>
        <w:keepNext/>
        <w:spacing w:before="180"/>
      </w:pPr>
      <w:r>
        <w:rPr>
          <w:rFonts w:ascii="IBM Plex Mono" w:hAnsi="IBM Plex Mono" w:cs="IBM Plex Mono"/>
          <w:b/>
          <w:color w:val="0E8E66"/>
          <w:sz w:val="19"/>
        </w:rPr>
        <w:t>UDR-01</w:t>
      </w:r>
      <w:r>
        <w:rPr>
          <w:rFonts w:ascii="IBM Plex Sans" w:hAnsi="IBM Plex Sans" w:cs="IBM Plex Sans"/>
          <w:b/>
          <w:color w:val="0B0E11"/>
          <w:sz w:val="21"/>
        </w:rPr>
        <w:t xml:space="preserve">   Data Rights Management Policy</w:t>
      </w:r>
    </w:p>
    <w:p>
      <w:pPr/>
      <w:r>
        <w:t>The organization shall define and document a policy for managing user data rights in alignment with applicable privacy laws and contractual commitments.</w:t>
      </w:r>
    </w:p>
    <w:p>
      <w:pPr>
        <w:keepNext/>
        <w:spacing w:before="180"/>
      </w:pPr>
      <w:r>
        <w:rPr>
          <w:rFonts w:ascii="IBM Plex Mono" w:hAnsi="IBM Plex Mono" w:cs="IBM Plex Mono"/>
          <w:b/>
          <w:color w:val="0E8E66"/>
          <w:sz w:val="19"/>
        </w:rPr>
        <w:t>UDR-02</w:t>
      </w:r>
      <w:r>
        <w:rPr>
          <w:rFonts w:ascii="IBM Plex Sans" w:hAnsi="IBM Plex Sans" w:cs="IBM Plex Sans"/>
          <w:b/>
          <w:color w:val="0B0E11"/>
          <w:sz w:val="21"/>
        </w:rPr>
        <w:t xml:space="preserve">   Data Subject Rights Cataloging</w:t>
      </w:r>
    </w:p>
    <w:p>
      <w:pPr/>
      <w:r>
        <w:t>The organization shall maintain a comprehensive catalog of data subject rights applicable across jurisdictions and business units, and identify overlaps, conflicts, and regulatory precedence.</w:t>
      </w:r>
    </w:p>
    <w:p>
      <w:pPr>
        <w:keepNext/>
        <w:spacing w:before="180"/>
      </w:pPr>
      <w:r>
        <w:rPr>
          <w:rFonts w:ascii="IBM Plex Mono" w:hAnsi="IBM Plex Mono" w:cs="IBM Plex Mono"/>
          <w:b/>
          <w:color w:val="0E8E66"/>
          <w:sz w:val="19"/>
        </w:rPr>
        <w:t>UDR-03</w:t>
      </w:r>
      <w:r>
        <w:rPr>
          <w:rFonts w:ascii="IBM Plex Sans" w:hAnsi="IBM Plex Sans" w:cs="IBM Plex Sans"/>
          <w:b/>
          <w:color w:val="0B0E11"/>
          <w:sz w:val="21"/>
        </w:rPr>
        <w:t xml:space="preserve">   Right-to-Know Request Mechanism</w:t>
      </w:r>
    </w:p>
    <w:p>
      <w:pPr/>
      <w:r>
        <w:t>Mechanisms shall be implemented to allow individuals to submit "right to know" requests that provide visibility into what personal data the organization collects, processes, or shares.</w:t>
      </w:r>
    </w:p>
    <w:p>
      <w:pPr>
        <w:keepNext/>
        <w:spacing w:before="180"/>
      </w:pPr>
      <w:r>
        <w:rPr>
          <w:rFonts w:ascii="IBM Plex Mono" w:hAnsi="IBM Plex Mono" w:cs="IBM Plex Mono"/>
          <w:b/>
          <w:color w:val="0E8E66"/>
          <w:sz w:val="19"/>
        </w:rPr>
        <w:t>UDR-04</w:t>
      </w:r>
      <w:r>
        <w:rPr>
          <w:rFonts w:ascii="IBM Plex Sans" w:hAnsi="IBM Plex Sans" w:cs="IBM Plex Sans"/>
          <w:b/>
          <w:color w:val="0B0E11"/>
          <w:sz w:val="21"/>
        </w:rPr>
        <w:t xml:space="preserve">   Right-to-Access Fulfillment Workflow</w:t>
      </w:r>
    </w:p>
    <w:p>
      <w:pPr/>
      <w:r>
        <w:t>A documented, repeatable workflow shall exist for fulfilling subject access requests (SARs) within legally mandated timeframes, including secure identity verification and audit logging.</w:t>
      </w:r>
    </w:p>
    <w:p>
      <w:pPr>
        <w:keepNext/>
        <w:spacing w:before="180"/>
      </w:pPr>
      <w:r>
        <w:rPr>
          <w:rFonts w:ascii="IBM Plex Mono" w:hAnsi="IBM Plex Mono" w:cs="IBM Plex Mono"/>
          <w:b/>
          <w:color w:val="0E8E66"/>
          <w:sz w:val="19"/>
        </w:rPr>
        <w:t>UDR-05</w:t>
      </w:r>
      <w:r>
        <w:rPr>
          <w:rFonts w:ascii="IBM Plex Sans" w:hAnsi="IBM Plex Sans" w:cs="IBM Plex Sans"/>
          <w:b/>
          <w:color w:val="0B0E11"/>
          <w:sz w:val="21"/>
        </w:rPr>
        <w:t xml:space="preserve">   Data Portability Protocols</w:t>
      </w:r>
    </w:p>
    <w:p>
      <w:pPr/>
      <w:r>
        <w:t>The organization shall implement structured, machine-readable formats (e.g., JSON, CSV, XML) for providing portable copies of personal data to users upon request.</w:t>
      </w:r>
    </w:p>
    <w:p>
      <w:pPr>
        <w:keepNext/>
        <w:spacing w:before="180"/>
      </w:pPr>
      <w:r>
        <w:rPr>
          <w:rFonts w:ascii="IBM Plex Mono" w:hAnsi="IBM Plex Mono" w:cs="IBM Plex Mono"/>
          <w:b/>
          <w:color w:val="0E8E66"/>
          <w:sz w:val="19"/>
        </w:rPr>
        <w:t>UDR-06</w:t>
      </w:r>
      <w:r>
        <w:rPr>
          <w:rFonts w:ascii="IBM Plex Sans" w:hAnsi="IBM Plex Sans" w:cs="IBM Plex Sans"/>
          <w:b/>
          <w:color w:val="0B0E11"/>
          <w:sz w:val="21"/>
        </w:rPr>
        <w:t xml:space="preserve">   Right-to-Correction Procedures</w:t>
      </w:r>
    </w:p>
    <w:p>
      <w:pPr/>
      <w:r>
        <w:t>Procedures shall be in place to allow individuals to request correction of inaccurate or incomplete personal data, with verification of updates across dependent systems and third parties.</w:t>
      </w:r>
    </w:p>
    <w:p>
      <w:pPr>
        <w:keepNext/>
        <w:spacing w:before="180"/>
      </w:pPr>
      <w:r>
        <w:rPr>
          <w:rFonts w:ascii="IBM Plex Mono" w:hAnsi="IBM Plex Mono" w:cs="IBM Plex Mono"/>
          <w:b/>
          <w:color w:val="0E8E66"/>
          <w:sz w:val="19"/>
        </w:rPr>
        <w:t>UDR-07</w:t>
      </w:r>
      <w:r>
        <w:rPr>
          <w:rFonts w:ascii="IBM Plex Sans" w:hAnsi="IBM Plex Sans" w:cs="IBM Plex Sans"/>
          <w:b/>
          <w:color w:val="0B0E11"/>
          <w:sz w:val="21"/>
        </w:rPr>
        <w:t xml:space="preserve">   Right-to-Erasure (“Right to Be Forgotten”) Enforcement</w:t>
      </w:r>
    </w:p>
    <w:p>
      <w:pPr/>
      <w:r>
        <w:t>Where legally applicable, the organization shall implement processes to delete or anonymize personal data upon verified request, including propagation to backups and third-party systems when feasible.</w:t>
      </w:r>
    </w:p>
    <w:p>
      <w:pPr>
        <w:keepNext/>
        <w:spacing w:before="180"/>
      </w:pPr>
      <w:r>
        <w:rPr>
          <w:rFonts w:ascii="IBM Plex Mono" w:hAnsi="IBM Plex Mono" w:cs="IBM Plex Mono"/>
          <w:b/>
          <w:color w:val="0E8E66"/>
          <w:sz w:val="19"/>
        </w:rPr>
        <w:t>UDR-08</w:t>
      </w:r>
      <w:r>
        <w:rPr>
          <w:rFonts w:ascii="IBM Plex Sans" w:hAnsi="IBM Plex Sans" w:cs="IBM Plex Sans"/>
          <w:b/>
          <w:color w:val="0B0E11"/>
          <w:sz w:val="21"/>
        </w:rPr>
        <w:t xml:space="preserve">   Restriction of Processing Controls</w:t>
      </w:r>
    </w:p>
    <w:p>
      <w:pPr/>
      <w:r>
        <w:t>Upon request and in applicable jurisdictions, personal data shall be flagged or logically segregated to restrict further processing, pending final resolution or verification of claims.</w:t>
      </w:r>
    </w:p>
    <w:p>
      <w:pPr>
        <w:keepNext/>
        <w:spacing w:before="180"/>
      </w:pPr>
      <w:r>
        <w:rPr>
          <w:rFonts w:ascii="IBM Plex Mono" w:hAnsi="IBM Plex Mono" w:cs="IBM Plex Mono"/>
          <w:b/>
          <w:color w:val="0E8E66"/>
          <w:sz w:val="19"/>
        </w:rPr>
        <w:t>UDR-09</w:t>
      </w:r>
      <w:r>
        <w:rPr>
          <w:rFonts w:ascii="IBM Plex Sans" w:hAnsi="IBM Plex Sans" w:cs="IBM Plex Sans"/>
          <w:b/>
          <w:color w:val="0B0E11"/>
          <w:sz w:val="21"/>
        </w:rPr>
        <w:t xml:space="preserve">   Objection to Processing Handling</w:t>
      </w:r>
    </w:p>
    <w:p>
      <w:pPr/>
      <w:r>
        <w:t>Users shall have the ability to object to certain types of processing (e.g., direct marketing, profiling), and the organization shall evaluate and act on such objections promptly and in compliance with law.</w:t>
      </w:r>
    </w:p>
    <w:p>
      <w:pPr>
        <w:keepNext/>
        <w:spacing w:before="180"/>
      </w:pPr>
      <w:r>
        <w:rPr>
          <w:rFonts w:ascii="IBM Plex Mono" w:hAnsi="IBM Plex Mono" w:cs="IBM Plex Mono"/>
          <w:b/>
          <w:color w:val="0E8E66"/>
          <w:sz w:val="19"/>
        </w:rPr>
        <w:t>UDR-10</w:t>
      </w:r>
      <w:r>
        <w:rPr>
          <w:rFonts w:ascii="IBM Plex Sans" w:hAnsi="IBM Plex Sans" w:cs="IBM Plex Sans"/>
          <w:b/>
          <w:color w:val="0B0E11"/>
          <w:sz w:val="21"/>
        </w:rPr>
        <w:t xml:space="preserve">   Consent Management Framework</w:t>
      </w:r>
    </w:p>
    <w:p>
      <w:pPr/>
      <w:r>
        <w:t>The organization shall implement mechanisms to collect, record, and manage user consent for data processing activities, including the ability to granularly revoke consent at any time.</w:t>
      </w:r>
    </w:p>
    <w:p>
      <w:pPr>
        <w:keepNext/>
        <w:spacing w:before="180"/>
      </w:pPr>
      <w:r>
        <w:rPr>
          <w:rFonts w:ascii="IBM Plex Mono" w:hAnsi="IBM Plex Mono" w:cs="IBM Plex Mono"/>
          <w:b/>
          <w:color w:val="0E8E66"/>
          <w:sz w:val="19"/>
        </w:rPr>
        <w:t>UDR-11</w:t>
      </w:r>
      <w:r>
        <w:rPr>
          <w:rFonts w:ascii="IBM Plex Sans" w:hAnsi="IBM Plex Sans" w:cs="IBM Plex Sans"/>
          <w:b/>
          <w:color w:val="0B0E11"/>
          <w:sz w:val="21"/>
        </w:rPr>
        <w:t xml:space="preserve">   Parental &amp; Guardian Data Rights Support</w:t>
      </w:r>
    </w:p>
    <w:p>
      <w:pPr/>
      <w:r>
        <w:t>For data subjects who are minors or legally dependent individuals, the organization shall accommodate data rights requests from parents or legal guardians with proper authorization.</w:t>
      </w:r>
    </w:p>
    <w:p>
      <w:pPr>
        <w:keepNext/>
        <w:spacing w:before="180"/>
      </w:pPr>
      <w:r>
        <w:rPr>
          <w:rFonts w:ascii="IBM Plex Mono" w:hAnsi="IBM Plex Mono" w:cs="IBM Plex Mono"/>
          <w:b/>
          <w:color w:val="0E8E66"/>
          <w:sz w:val="19"/>
        </w:rPr>
        <w:t>UDR-12</w:t>
      </w:r>
      <w:r>
        <w:rPr>
          <w:rFonts w:ascii="IBM Plex Sans" w:hAnsi="IBM Plex Sans" w:cs="IBM Plex Sans"/>
          <w:b/>
          <w:color w:val="0B0E11"/>
          <w:sz w:val="21"/>
        </w:rPr>
        <w:t xml:space="preserve">   Data Rights Identity Verification</w:t>
      </w:r>
    </w:p>
    <w:p>
      <w:pPr/>
      <w:r>
        <w:t>Controls shall exist to authenticate the identity of users submitting data rights requests to prevent unauthorized access or manipulation of personal data.</w:t>
      </w:r>
    </w:p>
    <w:p>
      <w:pPr>
        <w:keepNext/>
        <w:spacing w:before="180"/>
      </w:pPr>
      <w:r>
        <w:rPr>
          <w:rFonts w:ascii="IBM Plex Mono" w:hAnsi="IBM Plex Mono" w:cs="IBM Plex Mono"/>
          <w:b/>
          <w:color w:val="0E8E66"/>
          <w:sz w:val="19"/>
        </w:rPr>
        <w:t>UDR-13</w:t>
      </w:r>
      <w:r>
        <w:rPr>
          <w:rFonts w:ascii="IBM Plex Sans" w:hAnsi="IBM Plex Sans" w:cs="IBM Plex Sans"/>
          <w:b/>
          <w:color w:val="0B0E11"/>
          <w:sz w:val="21"/>
        </w:rPr>
        <w:t xml:space="preserve">   Transparency of Data Rights Processes</w:t>
      </w:r>
    </w:p>
    <w:p>
      <w:pPr/>
      <w:r>
        <w:t>The organization shall publish clear, accessible documentation outlining users' data rights, how to exercise them, and what to expect in terms of process and response timelines.</w:t>
      </w:r>
    </w:p>
    <w:p>
      <w:pPr>
        <w:keepNext/>
        <w:spacing w:before="180"/>
      </w:pPr>
      <w:r>
        <w:rPr>
          <w:rFonts w:ascii="IBM Plex Mono" w:hAnsi="IBM Plex Mono" w:cs="IBM Plex Mono"/>
          <w:b/>
          <w:color w:val="0E8E66"/>
          <w:sz w:val="19"/>
        </w:rPr>
        <w:t>UDR-14</w:t>
      </w:r>
      <w:r>
        <w:rPr>
          <w:rFonts w:ascii="IBM Plex Sans" w:hAnsi="IBM Plex Sans" w:cs="IBM Plex Sans"/>
          <w:b/>
          <w:color w:val="0B0E11"/>
          <w:sz w:val="21"/>
        </w:rPr>
        <w:t xml:space="preserve">   Localization of Rights Requests</w:t>
      </w:r>
    </w:p>
    <w:p>
      <w:pPr/>
      <w:r>
        <w:t>Where data subjects reside in multiple jurisdictions, the organization shall localize the fulfillment of rights requests to reflect the most protective applicable standard.</w:t>
      </w:r>
    </w:p>
    <w:p>
      <w:pPr>
        <w:keepNext/>
        <w:spacing w:before="180"/>
      </w:pPr>
      <w:r>
        <w:rPr>
          <w:rFonts w:ascii="IBM Plex Mono" w:hAnsi="IBM Plex Mono" w:cs="IBM Plex Mono"/>
          <w:b/>
          <w:color w:val="0E8E66"/>
          <w:sz w:val="19"/>
        </w:rPr>
        <w:t>UDR-15</w:t>
      </w:r>
      <w:r>
        <w:rPr>
          <w:rFonts w:ascii="IBM Plex Sans" w:hAnsi="IBM Plex Sans" w:cs="IBM Plex Sans"/>
          <w:b/>
          <w:color w:val="0B0E11"/>
          <w:sz w:val="21"/>
        </w:rPr>
        <w:t xml:space="preserve">   Data Rights Training for Fulfillment Teams</w:t>
      </w:r>
    </w:p>
    <w:p>
      <w:pPr/>
      <w:r>
        <w:t>Personnel responsible for responding to rights requests shall receive specialized training on regulatory requirements, internal procedures, and how to handle edge cases or escalation.</w:t>
      </w:r>
    </w:p>
    <w:p>
      <w:pPr>
        <w:keepNext/>
        <w:spacing w:before="180"/>
      </w:pPr>
      <w:r>
        <w:rPr>
          <w:rFonts w:ascii="IBM Plex Mono" w:hAnsi="IBM Plex Mono" w:cs="IBM Plex Mono"/>
          <w:b/>
          <w:color w:val="0E8E66"/>
          <w:sz w:val="19"/>
        </w:rPr>
        <w:t>UDR-16</w:t>
      </w:r>
      <w:r>
        <w:rPr>
          <w:rFonts w:ascii="IBM Plex Sans" w:hAnsi="IBM Plex Sans" w:cs="IBM Plex Sans"/>
          <w:b/>
          <w:color w:val="0B0E11"/>
          <w:sz w:val="21"/>
        </w:rPr>
        <w:t xml:space="preserve">   Rights Request Lifecycle Logging</w:t>
      </w:r>
    </w:p>
    <w:p>
      <w:pPr/>
      <w:r>
        <w:t>Each data rights request shall be tracked from submission through closure, with timestamps, status updates, and responsible personnel logged for compliance and audit purposes.</w:t>
      </w:r>
    </w:p>
    <w:p>
      <w:pPr>
        <w:keepNext/>
        <w:spacing w:before="180"/>
      </w:pPr>
      <w:r>
        <w:rPr>
          <w:rFonts w:ascii="IBM Plex Mono" w:hAnsi="IBM Plex Mono" w:cs="IBM Plex Mono"/>
          <w:b/>
          <w:color w:val="0E8E66"/>
          <w:sz w:val="19"/>
        </w:rPr>
        <w:t>UDR-17</w:t>
      </w:r>
      <w:r>
        <w:rPr>
          <w:rFonts w:ascii="IBM Plex Sans" w:hAnsi="IBM Plex Sans" w:cs="IBM Plex Sans"/>
          <w:b/>
          <w:color w:val="0B0E11"/>
          <w:sz w:val="21"/>
        </w:rPr>
        <w:t xml:space="preserve">   Recurring Rights Request Analytics &amp; Trends</w:t>
      </w:r>
    </w:p>
    <w:p>
      <w:pPr/>
      <w:r>
        <w:t>The organization shall analyze trends in rights requests to identify systemic issues, improve service efficiency, and flag high-risk business processes or data sets.</w:t>
      </w:r>
    </w:p>
    <w:p>
      <w:pPr>
        <w:keepNext/>
        <w:spacing w:before="180"/>
      </w:pPr>
      <w:r>
        <w:rPr>
          <w:rFonts w:ascii="IBM Plex Mono" w:hAnsi="IBM Plex Mono" w:cs="IBM Plex Mono"/>
          <w:b/>
          <w:color w:val="0E8E66"/>
          <w:sz w:val="19"/>
        </w:rPr>
        <w:t>UDR-18</w:t>
      </w:r>
      <w:r>
        <w:rPr>
          <w:rFonts w:ascii="IBM Plex Sans" w:hAnsi="IBM Plex Sans" w:cs="IBM Plex Sans"/>
          <w:b/>
          <w:color w:val="0B0E11"/>
          <w:sz w:val="21"/>
        </w:rPr>
        <w:t xml:space="preserve">   Re-identification Risk Management in Responses</w:t>
      </w:r>
    </w:p>
    <w:p>
      <w:pPr/>
      <w:r>
        <w:t>Where anonymized data sets are involved, the organization shall assess and mitigate re-identification risks before fulfilling data access, portability, or erasure requests.</w:t>
      </w:r>
    </w:p>
    <w:p>
      <w:pPr>
        <w:keepNext/>
        <w:spacing w:before="180"/>
      </w:pPr>
      <w:r>
        <w:rPr>
          <w:rFonts w:ascii="IBM Plex Mono" w:hAnsi="IBM Plex Mono" w:cs="IBM Plex Mono"/>
          <w:b/>
          <w:color w:val="0E8E66"/>
          <w:sz w:val="19"/>
        </w:rPr>
        <w:t>UDR-19</w:t>
      </w:r>
      <w:r>
        <w:rPr>
          <w:rFonts w:ascii="IBM Plex Sans" w:hAnsi="IBM Plex Sans" w:cs="IBM Plex Sans"/>
          <w:b/>
          <w:color w:val="0B0E11"/>
          <w:sz w:val="21"/>
        </w:rPr>
        <w:t xml:space="preserve">   Data Rights Dispute Resolution Process</w:t>
      </w:r>
    </w:p>
    <w:p>
      <w:pPr/>
      <w:r>
        <w:t>A dispute resolution process shall be established for users who believe their data rights requests were denied improperly or handled in violation of policy or law.</w:t>
      </w:r>
    </w:p>
    <w:p>
      <w:pPr>
        <w:keepNext/>
        <w:spacing w:before="180"/>
      </w:pPr>
      <w:r>
        <w:rPr>
          <w:rFonts w:ascii="IBM Plex Mono" w:hAnsi="IBM Plex Mono" w:cs="IBM Plex Mono"/>
          <w:b/>
          <w:color w:val="0E8E66"/>
          <w:sz w:val="19"/>
        </w:rPr>
        <w:t>UDR-20</w:t>
      </w:r>
      <w:r>
        <w:rPr>
          <w:rFonts w:ascii="IBM Plex Sans" w:hAnsi="IBM Plex Sans" w:cs="IBM Plex Sans"/>
          <w:b/>
          <w:color w:val="0B0E11"/>
          <w:sz w:val="21"/>
        </w:rPr>
        <w:t xml:space="preserve">   Third-Party Rights Propagation Enforcement</w:t>
      </w:r>
    </w:p>
    <w:p>
      <w:pPr/>
      <w:r>
        <w:t>Contracts and integrations with third parties shall include mechanisms for propagating user data rights requests (e.g., erasure, correction) and ensuring timely fulfillment by downstream entities.</w:t>
      </w:r>
    </w:p>
    <w:p>
      <w:pPr>
        <w:keepNext/>
        <w:spacing w:before="180"/>
      </w:pPr>
      <w:r>
        <w:rPr>
          <w:rFonts w:ascii="IBM Plex Mono" w:hAnsi="IBM Plex Mono" w:cs="IBM Plex Mono"/>
          <w:b/>
          <w:color w:val="0E8E66"/>
          <w:sz w:val="19"/>
        </w:rPr>
        <w:t>UDR-21</w:t>
      </w:r>
      <w:r>
        <w:rPr>
          <w:rFonts w:ascii="IBM Plex Sans" w:hAnsi="IBM Plex Sans" w:cs="IBM Plex Sans"/>
          <w:b/>
          <w:color w:val="0B0E11"/>
          <w:sz w:val="21"/>
        </w:rPr>
        <w:t xml:space="preserve">   Emergency Request Handling Criteria</w:t>
      </w:r>
    </w:p>
    <w:p>
      <w:pPr/>
      <w:r>
        <w:t>The organization shall define criteria and an expedited path for urgent rights requests, such as those involving imminent risk to life, liberty, or safety.</w:t>
      </w:r>
    </w:p>
    <w:p>
      <w:pPr>
        <w:pStyle w:val="Kicker"/>
      </w:pPr>
      <w:r>
        <w:t>// control family</w:t>
      </w:r>
    </w:p>
    <w:p>
      <w:pPr>
        <w:pStyle w:val="Heading2"/>
      </w:pPr>
      <w:r>
        <w:t>Data Loss Prevention (DLP)</w:t>
      </w:r>
    </w:p>
    <w:p>
      <w:pPr/>
      <w:r>
        <w:t>The Data Loss Prevention (DLP) control family outlines the safeguards, monitoring, and enforcement mechanisms required to prevent unauthorized access, transfer, or exfiltration of sensitive data. These controls ensure the confidentiality of organizational, customer, and regulated data across endpoints, networks, cloud environments, and storage systems. Emphasis is placed on detection accuracy, policy enforcement, contextual awareness, and minimizing operational disruption while maximizing data protection effectiveness.</w:t>
      </w:r>
    </w:p>
    <w:p>
      <w:pPr>
        <w:keepNext/>
        <w:spacing w:before="180"/>
      </w:pPr>
      <w:r>
        <w:rPr>
          <w:rFonts w:ascii="IBM Plex Mono" w:hAnsi="IBM Plex Mono" w:cs="IBM Plex Mono"/>
          <w:b/>
          <w:color w:val="0E8E66"/>
          <w:sz w:val="19"/>
        </w:rPr>
        <w:t>DLP-01</w:t>
      </w:r>
      <w:r>
        <w:rPr>
          <w:rFonts w:ascii="IBM Plex Sans" w:hAnsi="IBM Plex Sans" w:cs="IBM Plex Sans"/>
          <w:b/>
          <w:color w:val="0B0E11"/>
          <w:sz w:val="21"/>
        </w:rPr>
        <w:t xml:space="preserve">   DLP Policy Definition and Classification Alignment</w:t>
      </w:r>
    </w:p>
    <w:p>
      <w:pPr/>
      <w:r>
        <w:t>Organizations shall define DLP policies based on data classification schemes, ensuring alignment between DLP enforcement rules and the sensitivity levels assigned to data assets.</w:t>
      </w:r>
    </w:p>
    <w:p>
      <w:pPr>
        <w:keepNext/>
        <w:spacing w:before="180"/>
      </w:pPr>
      <w:r>
        <w:rPr>
          <w:rFonts w:ascii="IBM Plex Mono" w:hAnsi="IBM Plex Mono" w:cs="IBM Plex Mono"/>
          <w:b/>
          <w:color w:val="0E8E66"/>
          <w:sz w:val="19"/>
        </w:rPr>
        <w:t>DLP-02</w:t>
      </w:r>
      <w:r>
        <w:rPr>
          <w:rFonts w:ascii="IBM Plex Sans" w:hAnsi="IBM Plex Sans" w:cs="IBM Plex Sans"/>
          <w:b/>
          <w:color w:val="0B0E11"/>
          <w:sz w:val="21"/>
        </w:rPr>
        <w:t xml:space="preserve">   Endpoint DLP Agent Deployment</w:t>
      </w:r>
    </w:p>
    <w:p>
      <w:pPr/>
      <w:r>
        <w:t>DLP agents shall be deployed on all managed endpoints with access to sensitive data, enabling monitoring, enforcement, and offline protection capabilities.</w:t>
      </w:r>
    </w:p>
    <w:p>
      <w:pPr>
        <w:keepNext/>
        <w:spacing w:before="180"/>
      </w:pPr>
      <w:r>
        <w:rPr>
          <w:rFonts w:ascii="IBM Plex Mono" w:hAnsi="IBM Plex Mono" w:cs="IBM Plex Mono"/>
          <w:b/>
          <w:color w:val="0E8E66"/>
          <w:sz w:val="19"/>
        </w:rPr>
        <w:t>DLP-03</w:t>
      </w:r>
      <w:r>
        <w:rPr>
          <w:rFonts w:ascii="IBM Plex Sans" w:hAnsi="IBM Plex Sans" w:cs="IBM Plex Sans"/>
          <w:b/>
          <w:color w:val="0B0E11"/>
          <w:sz w:val="21"/>
        </w:rPr>
        <w:t xml:space="preserve">   Network DLP Integration</w:t>
      </w:r>
    </w:p>
    <w:p>
      <w:pPr/>
      <w:r>
        <w:t>DLP technologies shall be deployed at key network egress points to inspect outbound traffic and enforce policies on data in motion across email, web, and file transfer protocols.</w:t>
      </w:r>
    </w:p>
    <w:p>
      <w:pPr>
        <w:keepNext/>
        <w:spacing w:before="180"/>
      </w:pPr>
      <w:r>
        <w:rPr>
          <w:rFonts w:ascii="IBM Plex Mono" w:hAnsi="IBM Plex Mono" w:cs="IBM Plex Mono"/>
          <w:b/>
          <w:color w:val="0E8E66"/>
          <w:sz w:val="19"/>
        </w:rPr>
        <w:t>DLP-04</w:t>
      </w:r>
      <w:r>
        <w:rPr>
          <w:rFonts w:ascii="IBM Plex Sans" w:hAnsi="IBM Plex Sans" w:cs="IBM Plex Sans"/>
          <w:b/>
          <w:color w:val="0B0E11"/>
          <w:sz w:val="21"/>
        </w:rPr>
        <w:t xml:space="preserve">   Cloud DLP Enforcement</w:t>
      </w:r>
    </w:p>
    <w:p>
      <w:pPr/>
      <w:r>
        <w:t>Cloud-native or integrated DLP controls shall be implemented to monitor and control data activity within sanctioned SaaS, PaaS, and IaaS environments.</w:t>
      </w:r>
    </w:p>
    <w:p>
      <w:pPr>
        <w:keepNext/>
        <w:spacing w:before="180"/>
      </w:pPr>
      <w:r>
        <w:rPr>
          <w:rFonts w:ascii="IBM Plex Mono" w:hAnsi="IBM Plex Mono" w:cs="IBM Plex Mono"/>
          <w:b/>
          <w:color w:val="0E8E66"/>
          <w:sz w:val="19"/>
        </w:rPr>
        <w:t>DLP-05</w:t>
      </w:r>
      <w:r>
        <w:rPr>
          <w:rFonts w:ascii="IBM Plex Sans" w:hAnsi="IBM Plex Sans" w:cs="IBM Plex Sans"/>
          <w:b/>
          <w:color w:val="0B0E11"/>
          <w:sz w:val="21"/>
        </w:rPr>
        <w:t xml:space="preserve">   Contextual DLP Enforcement</w:t>
      </w:r>
    </w:p>
    <w:p>
      <w:pPr/>
      <w:r>
        <w:t>DLP solutions shall incorporate contextual attributes (e.g., user role, location, device posture, channel) to enforce adaptive policies and reduce false positives.</w:t>
      </w:r>
    </w:p>
    <w:p>
      <w:pPr>
        <w:keepNext/>
        <w:spacing w:before="180"/>
      </w:pPr>
      <w:r>
        <w:rPr>
          <w:rFonts w:ascii="IBM Plex Mono" w:hAnsi="IBM Plex Mono" w:cs="IBM Plex Mono"/>
          <w:b/>
          <w:color w:val="0E8E66"/>
          <w:sz w:val="19"/>
        </w:rPr>
        <w:t>DLP-06</w:t>
      </w:r>
      <w:r>
        <w:rPr>
          <w:rFonts w:ascii="IBM Plex Sans" w:hAnsi="IBM Plex Sans" w:cs="IBM Plex Sans"/>
          <w:b/>
          <w:color w:val="0B0E11"/>
          <w:sz w:val="21"/>
        </w:rPr>
        <w:t xml:space="preserve">   DLP Coverage for Removable Media</w:t>
      </w:r>
    </w:p>
    <w:p>
      <w:pPr/>
      <w:r>
        <w:t>All attempts to copy, move, or export sensitive data to USB drives, external hard drives, and other removable media shall be monitored and governed by DLP policies.</w:t>
      </w:r>
    </w:p>
    <w:p>
      <w:pPr>
        <w:keepNext/>
        <w:spacing w:before="180"/>
      </w:pPr>
      <w:r>
        <w:rPr>
          <w:rFonts w:ascii="IBM Plex Mono" w:hAnsi="IBM Plex Mono" w:cs="IBM Plex Mono"/>
          <w:b/>
          <w:color w:val="0E8E66"/>
          <w:sz w:val="19"/>
        </w:rPr>
        <w:t>DLP-07</w:t>
      </w:r>
      <w:r>
        <w:rPr>
          <w:rFonts w:ascii="IBM Plex Sans" w:hAnsi="IBM Plex Sans" w:cs="IBM Plex Sans"/>
          <w:b/>
          <w:color w:val="0B0E11"/>
          <w:sz w:val="21"/>
        </w:rPr>
        <w:t xml:space="preserve">   Optical Character Recognition (OCR) for DLP</w:t>
      </w:r>
    </w:p>
    <w:p>
      <w:pPr/>
      <w:r>
        <w:t>DLP solutions shall include OCR capabilities to inspect text embedded in images and scanned documents to prevent evasion of content inspection mechanisms.</w:t>
      </w:r>
    </w:p>
    <w:p>
      <w:pPr>
        <w:keepNext/>
        <w:spacing w:before="180"/>
      </w:pPr>
      <w:r>
        <w:rPr>
          <w:rFonts w:ascii="IBM Plex Mono" w:hAnsi="IBM Plex Mono" w:cs="IBM Plex Mono"/>
          <w:b/>
          <w:color w:val="0E8E66"/>
          <w:sz w:val="19"/>
        </w:rPr>
        <w:t>DLP-08</w:t>
      </w:r>
      <w:r>
        <w:rPr>
          <w:rFonts w:ascii="IBM Plex Sans" w:hAnsi="IBM Plex Sans" w:cs="IBM Plex Sans"/>
          <w:b/>
          <w:color w:val="0B0E11"/>
          <w:sz w:val="21"/>
        </w:rPr>
        <w:t xml:space="preserve">   Email DLP Rules Enforcement</w:t>
      </w:r>
    </w:p>
    <w:p>
      <w:pPr/>
      <w:r>
        <w:t>DLP policies shall be applied to outbound emails, including subject, body, and attachments, with configurable actions for blocking, encryption, quarantining, or alerting.</w:t>
      </w:r>
    </w:p>
    <w:p>
      <w:pPr>
        <w:keepNext/>
        <w:spacing w:before="180"/>
      </w:pPr>
      <w:r>
        <w:rPr>
          <w:rFonts w:ascii="IBM Plex Mono" w:hAnsi="IBM Plex Mono" w:cs="IBM Plex Mono"/>
          <w:b/>
          <w:color w:val="0E8E66"/>
          <w:sz w:val="19"/>
        </w:rPr>
        <w:t>DLP-09</w:t>
      </w:r>
      <w:r>
        <w:rPr>
          <w:rFonts w:ascii="IBM Plex Sans" w:hAnsi="IBM Plex Sans" w:cs="IBM Plex Sans"/>
          <w:b/>
          <w:color w:val="0B0E11"/>
          <w:sz w:val="21"/>
        </w:rPr>
        <w:t xml:space="preserve">   Custom Data Identifier Support</w:t>
      </w:r>
    </w:p>
    <w:p>
      <w:pPr/>
      <w:r>
        <w:t>Organizations shall define and use custom data identifiers within DLP tools to detect unique patterns, proprietary information, or industry-specific regulated content.</w:t>
      </w:r>
    </w:p>
    <w:p>
      <w:pPr>
        <w:keepNext/>
        <w:spacing w:before="180"/>
      </w:pPr>
      <w:r>
        <w:rPr>
          <w:rFonts w:ascii="IBM Plex Mono" w:hAnsi="IBM Plex Mono" w:cs="IBM Plex Mono"/>
          <w:b/>
          <w:color w:val="0E8E66"/>
          <w:sz w:val="19"/>
        </w:rPr>
        <w:t>DLP-10</w:t>
      </w:r>
      <w:r>
        <w:rPr>
          <w:rFonts w:ascii="IBM Plex Sans" w:hAnsi="IBM Plex Sans" w:cs="IBM Plex Sans"/>
          <w:b/>
          <w:color w:val="0B0E11"/>
          <w:sz w:val="21"/>
        </w:rPr>
        <w:t xml:space="preserve">   Shadow IT Discovery for Data Movement</w:t>
      </w:r>
    </w:p>
    <w:p>
      <w:pPr/>
      <w:r>
        <w:t>DLP systems shall integrate with cloud access security brokers (CASBs) or other discovery tools to detect unauthorized use of unsanctioned cloud services for data transfers.</w:t>
      </w:r>
    </w:p>
    <w:p>
      <w:pPr>
        <w:keepNext/>
        <w:spacing w:before="180"/>
      </w:pPr>
      <w:r>
        <w:rPr>
          <w:rFonts w:ascii="IBM Plex Mono" w:hAnsi="IBM Plex Mono" w:cs="IBM Plex Mono"/>
          <w:b/>
          <w:color w:val="0E8E66"/>
          <w:sz w:val="19"/>
        </w:rPr>
        <w:t>DLP-11</w:t>
      </w:r>
      <w:r>
        <w:rPr>
          <w:rFonts w:ascii="IBM Plex Sans" w:hAnsi="IBM Plex Sans" w:cs="IBM Plex Sans"/>
          <w:b/>
          <w:color w:val="0B0E11"/>
          <w:sz w:val="21"/>
        </w:rPr>
        <w:t xml:space="preserve">   DLP Incident Workflow and Escalation</w:t>
      </w:r>
    </w:p>
    <w:p>
      <w:pPr/>
      <w:r>
        <w:t>A defined incident handling workflow shall exist for DLP violations, including triage, impact analysis, escalation paths, and documentation of response actions.</w:t>
      </w:r>
    </w:p>
    <w:p>
      <w:pPr>
        <w:keepNext/>
        <w:spacing w:before="180"/>
      </w:pPr>
      <w:r>
        <w:rPr>
          <w:rFonts w:ascii="IBM Plex Mono" w:hAnsi="IBM Plex Mono" w:cs="IBM Plex Mono"/>
          <w:b/>
          <w:color w:val="0E8E66"/>
          <w:sz w:val="19"/>
        </w:rPr>
        <w:t>DLP-12</w:t>
      </w:r>
      <w:r>
        <w:rPr>
          <w:rFonts w:ascii="IBM Plex Sans" w:hAnsi="IBM Plex Sans" w:cs="IBM Plex Sans"/>
          <w:b/>
          <w:color w:val="0B0E11"/>
          <w:sz w:val="21"/>
        </w:rPr>
        <w:t xml:space="preserve">   DLP Exception Management</w:t>
      </w:r>
    </w:p>
    <w:p>
      <w:pPr/>
      <w:r>
        <w:t>A formal process shall exist for requesting, approving, and tracking exceptions to DLP policies, with compensating controls and expiration dates applied.</w:t>
      </w:r>
    </w:p>
    <w:p>
      <w:pPr>
        <w:keepNext/>
        <w:spacing w:before="180"/>
      </w:pPr>
      <w:r>
        <w:rPr>
          <w:rFonts w:ascii="IBM Plex Mono" w:hAnsi="IBM Plex Mono" w:cs="IBM Plex Mono"/>
          <w:b/>
          <w:color w:val="0E8E66"/>
          <w:sz w:val="19"/>
        </w:rPr>
        <w:t>DLP-13</w:t>
      </w:r>
      <w:r>
        <w:rPr>
          <w:rFonts w:ascii="IBM Plex Sans" w:hAnsi="IBM Plex Sans" w:cs="IBM Plex Sans"/>
          <w:b/>
          <w:color w:val="0B0E11"/>
          <w:sz w:val="21"/>
        </w:rPr>
        <w:t xml:space="preserve">   Print Channel Monitoring</w:t>
      </w:r>
    </w:p>
    <w:p>
      <w:pPr/>
      <w:r>
        <w:t>DLP controls shall monitor and optionally restrict printing of sensitive information based on content inspection, user role, or printer classification.</w:t>
      </w:r>
    </w:p>
    <w:p>
      <w:pPr>
        <w:keepNext/>
        <w:spacing w:before="180"/>
      </w:pPr>
      <w:r>
        <w:rPr>
          <w:rFonts w:ascii="IBM Plex Mono" w:hAnsi="IBM Plex Mono" w:cs="IBM Plex Mono"/>
          <w:b/>
          <w:color w:val="0E8E66"/>
          <w:sz w:val="19"/>
        </w:rPr>
        <w:t>DLP-14</w:t>
      </w:r>
      <w:r>
        <w:rPr>
          <w:rFonts w:ascii="IBM Plex Sans" w:hAnsi="IBM Plex Sans" w:cs="IBM Plex Sans"/>
          <w:b/>
          <w:color w:val="0B0E11"/>
          <w:sz w:val="21"/>
        </w:rPr>
        <w:t xml:space="preserve">   Data Fingerprinting and Exact Match Detection</w:t>
      </w:r>
    </w:p>
    <w:p>
      <w:pPr/>
      <w:r>
        <w:t>DLP solutions shall support fingerprinting of structured and unstructured data sources (e.g., databases, files) for exact data matching and more accurate detections.</w:t>
      </w:r>
    </w:p>
    <w:p>
      <w:pPr>
        <w:keepNext/>
        <w:spacing w:before="180"/>
      </w:pPr>
      <w:r>
        <w:rPr>
          <w:rFonts w:ascii="IBM Plex Mono" w:hAnsi="IBM Plex Mono" w:cs="IBM Plex Mono"/>
          <w:b/>
          <w:color w:val="0E8E66"/>
          <w:sz w:val="19"/>
        </w:rPr>
        <w:t>DLP-15</w:t>
      </w:r>
      <w:r>
        <w:rPr>
          <w:rFonts w:ascii="IBM Plex Sans" w:hAnsi="IBM Plex Sans" w:cs="IBM Plex Sans"/>
          <w:b/>
          <w:color w:val="0B0E11"/>
          <w:sz w:val="21"/>
        </w:rPr>
        <w:t xml:space="preserve">   DLP False Positive/Negative Review Process</w:t>
      </w:r>
    </w:p>
    <w:p>
      <w:pPr/>
      <w:r>
        <w:t>Organizations shall perform periodic tuning of DLP rules and detection models to minimize false positives and false negatives, informed by incident data and user feedback.</w:t>
      </w:r>
    </w:p>
    <w:p>
      <w:pPr>
        <w:keepNext/>
        <w:spacing w:before="180"/>
      </w:pPr>
      <w:r>
        <w:rPr>
          <w:rFonts w:ascii="IBM Plex Mono" w:hAnsi="IBM Plex Mono" w:cs="IBM Plex Mono"/>
          <w:b/>
          <w:color w:val="0E8E66"/>
          <w:sz w:val="19"/>
        </w:rPr>
        <w:t>DLP-16</w:t>
      </w:r>
      <w:r>
        <w:rPr>
          <w:rFonts w:ascii="IBM Plex Sans" w:hAnsi="IBM Plex Sans" w:cs="IBM Plex Sans"/>
          <w:b/>
          <w:color w:val="0B0E11"/>
          <w:sz w:val="21"/>
        </w:rPr>
        <w:t xml:space="preserve">   Offline DLP Enforcement</w:t>
      </w:r>
    </w:p>
    <w:p>
      <w:pPr/>
      <w:r>
        <w:t>Endpoint DLP controls shall function in offline mode, enforcing critical policies even when devices are disconnected from the network.</w:t>
      </w:r>
    </w:p>
    <w:p>
      <w:pPr>
        <w:keepNext/>
        <w:spacing w:before="180"/>
      </w:pPr>
      <w:r>
        <w:rPr>
          <w:rFonts w:ascii="IBM Plex Mono" w:hAnsi="IBM Plex Mono" w:cs="IBM Plex Mono"/>
          <w:b/>
          <w:color w:val="0E8E66"/>
          <w:sz w:val="19"/>
        </w:rPr>
        <w:t>DLP-17</w:t>
      </w:r>
      <w:r>
        <w:rPr>
          <w:rFonts w:ascii="IBM Plex Sans" w:hAnsi="IBM Plex Sans" w:cs="IBM Plex Sans"/>
          <w:b/>
          <w:color w:val="0B0E11"/>
          <w:sz w:val="21"/>
        </w:rPr>
        <w:t xml:space="preserve">   DLP Control Testing and Simulation</w:t>
      </w:r>
    </w:p>
    <w:p>
      <w:pPr/>
      <w:r>
        <w:t>Routine tests and simulations shall be conducted to evaluate the effectiveness of DLP controls in detecting and preventing policy violations across multiple channels.</w:t>
      </w:r>
    </w:p>
    <w:p>
      <w:pPr>
        <w:keepNext/>
        <w:spacing w:before="180"/>
      </w:pPr>
      <w:r>
        <w:rPr>
          <w:rFonts w:ascii="IBM Plex Mono" w:hAnsi="IBM Plex Mono" w:cs="IBM Plex Mono"/>
          <w:b/>
          <w:color w:val="0E8E66"/>
          <w:sz w:val="19"/>
        </w:rPr>
        <w:t>DLP-18</w:t>
      </w:r>
      <w:r>
        <w:rPr>
          <w:rFonts w:ascii="IBM Plex Sans" w:hAnsi="IBM Plex Sans" w:cs="IBM Plex Sans"/>
          <w:b/>
          <w:color w:val="0B0E11"/>
          <w:sz w:val="21"/>
        </w:rPr>
        <w:t xml:space="preserve">   Role-Based DLP Policy Differentiation</w:t>
      </w:r>
    </w:p>
    <w:p>
      <w:pPr/>
      <w:r>
        <w:t>DLP rules shall be tailored based on user roles, departments, or business units to ensure proportional enforcement aligned with business needs and risk levels.</w:t>
      </w:r>
    </w:p>
    <w:p>
      <w:pPr>
        <w:keepNext/>
        <w:spacing w:before="180"/>
      </w:pPr>
      <w:r>
        <w:rPr>
          <w:rFonts w:ascii="IBM Plex Mono" w:hAnsi="IBM Plex Mono" w:cs="IBM Plex Mono"/>
          <w:b/>
          <w:color w:val="0E8E66"/>
          <w:sz w:val="19"/>
        </w:rPr>
        <w:t>DLP-19</w:t>
      </w:r>
      <w:r>
        <w:rPr>
          <w:rFonts w:ascii="IBM Plex Sans" w:hAnsi="IBM Plex Sans" w:cs="IBM Plex Sans"/>
          <w:b/>
          <w:color w:val="0B0E11"/>
          <w:sz w:val="21"/>
        </w:rPr>
        <w:t xml:space="preserve">   DLP Audit Logging and Forensics Readiness</w:t>
      </w:r>
    </w:p>
    <w:p>
      <w:pPr/>
      <w:r>
        <w:t>All DLP events and actions shall be logged, time-synchronized, and retained for forensic investigation, compliance reporting, and incident correlation.</w:t>
      </w:r>
    </w:p>
    <w:p>
      <w:pPr>
        <w:keepNext/>
        <w:spacing w:before="180"/>
      </w:pPr>
      <w:r>
        <w:rPr>
          <w:rFonts w:ascii="IBM Plex Mono" w:hAnsi="IBM Plex Mono" w:cs="IBM Plex Mono"/>
          <w:b/>
          <w:color w:val="0E8E66"/>
          <w:sz w:val="19"/>
        </w:rPr>
        <w:t>DLP-20</w:t>
      </w:r>
      <w:r>
        <w:rPr>
          <w:rFonts w:ascii="IBM Plex Sans" w:hAnsi="IBM Plex Sans" w:cs="IBM Plex Sans"/>
          <w:b/>
          <w:color w:val="0B0E11"/>
          <w:sz w:val="21"/>
        </w:rPr>
        <w:t xml:space="preserve">   DLP Reporting and Risk Metrics</w:t>
      </w:r>
    </w:p>
    <w:p>
      <w:pPr/>
      <w:r>
        <w:t>DLP systems shall generate dashboards and reports that include metrics such as policy violations, blocked events, incident trends, and risk rankings by channel and user.</w:t>
      </w:r>
    </w:p>
    <w:p>
      <w:pPr>
        <w:keepNext/>
        <w:spacing w:before="180"/>
      </w:pPr>
      <w:r>
        <w:rPr>
          <w:rFonts w:ascii="IBM Plex Mono" w:hAnsi="IBM Plex Mono" w:cs="IBM Plex Mono"/>
          <w:b/>
          <w:color w:val="0E8E66"/>
          <w:sz w:val="19"/>
        </w:rPr>
        <w:t>DLP-21</w:t>
      </w:r>
      <w:r>
        <w:rPr>
          <w:rFonts w:ascii="IBM Plex Sans" w:hAnsi="IBM Plex Sans" w:cs="IBM Plex Sans"/>
          <w:b/>
          <w:color w:val="0B0E11"/>
          <w:sz w:val="21"/>
        </w:rPr>
        <w:t xml:space="preserve">   Integration of DLP with Identity Context</w:t>
      </w:r>
    </w:p>
    <w:p>
      <w:pPr/>
      <w:r>
        <w:t>DLP solutions shall integrate with identity systems to correlate violations with user attributes (e.g., department, clearance level), enabling enriched analysis and response.</w:t>
      </w:r>
    </w:p>
    <w:p>
      <w:pPr>
        <w:keepNext/>
        <w:spacing w:before="180"/>
      </w:pPr>
      <w:r>
        <w:rPr>
          <w:rFonts w:ascii="IBM Plex Mono" w:hAnsi="IBM Plex Mono" w:cs="IBM Plex Mono"/>
          <w:b/>
          <w:color w:val="0E8E66"/>
          <w:sz w:val="19"/>
        </w:rPr>
        <w:t>DLP-22</w:t>
      </w:r>
      <w:r>
        <w:rPr>
          <w:rFonts w:ascii="IBM Plex Sans" w:hAnsi="IBM Plex Sans" w:cs="IBM Plex Sans"/>
          <w:b/>
          <w:color w:val="0B0E11"/>
          <w:sz w:val="21"/>
        </w:rPr>
        <w:t xml:space="preserve">   Prohibited File Type Control via DLP</w:t>
      </w:r>
    </w:p>
    <w:p>
      <w:pPr/>
      <w:r>
        <w:t>DLP tools shall enforce restrictions on specific file types that are commonly used for exfiltration or obfuscation of sensitive data (e.g., archives, encrypted containers).</w:t>
      </w:r>
    </w:p>
    <w:p>
      <w:pPr>
        <w:keepNext/>
        <w:spacing w:before="180"/>
      </w:pPr>
      <w:r>
        <w:rPr>
          <w:rFonts w:ascii="IBM Plex Mono" w:hAnsi="IBM Plex Mono" w:cs="IBM Plex Mono"/>
          <w:b/>
          <w:color w:val="0E8E66"/>
          <w:sz w:val="19"/>
        </w:rPr>
        <w:t>DLP-23</w:t>
      </w:r>
      <w:r>
        <w:rPr>
          <w:rFonts w:ascii="IBM Plex Sans" w:hAnsi="IBM Plex Sans" w:cs="IBM Plex Sans"/>
          <w:b/>
          <w:color w:val="0B0E11"/>
          <w:sz w:val="21"/>
        </w:rPr>
        <w:t xml:space="preserve">   Continuous Improvement of DLP Policies</w:t>
      </w:r>
    </w:p>
    <w:p>
      <w:pPr/>
      <w:r>
        <w:t>Organizations shall conduct scheduled reviews of DLP policy effectiveness, adjusting rules and response strategies based on evolving threats, user behavior, and operational feedback.</w:t>
      </w:r>
    </w:p>
    <w:sectPr w:rsidR="00FC693F" w:rsidRPr="0006063C" w:rsidSect="00034616">
      <w:headerReference w:type="default" r:id="rId9"/>
      <w:footerReference w:type="default" r:id="rId10"/>
      <w:pgSz w:w="12240" w:h="15840"/>
      <w:pgMar w:top="1320" w:right="1440" w:bottom="12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ora">
    <w:charset w:val="00"/>
    <w:family w:val="swiss"/>
    <w:pitch w:val="variable"/>
    <w:embedRegular r:id="rId1" w:fontKey="{B39C7409-F347-47A9-8527-C0D0E1A77925}"/>
    <w:embedBold r:id="rId2" w:fontKey="{0DBA5A99-AAF0-4F09-8221-0755449A4FB5}"/>
  </w:font>
  <w:font w:name="IBM Plex Sans">
    <w:charset w:val="00"/>
    <w:family w:val="swiss"/>
    <w:pitch w:val="variable"/>
    <w:embedRegular r:id="rId3" w:fontKey="{C0AFB6C4-0096-4FA0-AAD9-FA4EF01E70D9}"/>
    <w:embedBold r:id="rId4" w:fontKey="{707D961D-8932-481D-8F38-42D0EA578034}"/>
  </w:font>
  <w:font w:name="IBM Plex Mono">
    <w:charset w:val="00"/>
    <w:family w:val="modern"/>
    <w:pitch w:val="fixed"/>
    <w:embedRegular r:id="rId5" w:fontKey="{8FAEA3C6-B815-4DEE-9BF7-595C11E29293}"/>
    <w:embedBold r:id="rId6" w:fontKey="{CAF8B839-F2E9-4995-B3A6-8D281F57E65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RunHead"/>
      <w:tabs>
        <w:tab w:pos="9360" w:val="right"/>
      </w:tabs>
    </w:pPr>
    <w:r>
      <w:rPr>
        <w:rFonts w:ascii="IBM Plex Mono" w:hAnsi="IBM Plex Mono" w:cs="IBM Plex Mono"/>
        <w:caps/>
        <w:color w:val="6B7680"/>
        <w:sz w:val="16"/>
      </w:rPr>
      <w:t>TIM D. TIPTON JR.  ·  THE CYBER ALCHEMIST</w:t>
    </w:r>
    <w:r>
      <w:rPr>
        <w:rFonts w:ascii="IBM Plex Mono" w:hAnsi="IBM Plex Mono" w:cs="IBM Plex Mono"/>
      </w:rPr>
      <w:tab/>
    </w:r>
    <w:r>
      <w:rPr>
        <w:rFonts w:ascii="IBM Plex Mono" w:hAnsi="IBM Plex Mono" w:cs="IBM Plex Mono"/>
        <w:caps/>
        <w:color w:val="6B7680"/>
        <w:sz w:val="16"/>
      </w:rPr>
      <w:t>SCOPE FRAMEWORK  ·  DATA GOVERNANCE &amp; PRIVACY v1.0</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RunHead"/>
      <w:pBdr>
        <w:bottom w:val="single" w:sz="4" w:space="3" w:color="E3E3DC"/>
      </w:pBdr>
      <w:tabs>
        <w:tab w:pos="9360" w:val="right"/>
      </w:tabs>
    </w:pPr>
    <w:r>
      <w:drawing>
        <wp:anchor distT="0" distB="0" distL="0" distR="0" simplePos="0" relativeHeight="0" behindDoc="1" locked="0" layoutInCell="0" allowOverlap="1">
          <wp:simplePos x="0" y="0"/>
          <wp:positionH relativeFrom="page">
            <wp:posOffset>0</wp:posOffset>
          </wp:positionH>
          <wp:positionV relativeFrom="page">
            <wp:posOffset>0</wp:posOffset>
          </wp:positionV>
          <wp:extent cx="7772400" cy="10058400"/>
          <wp:effectExtent l="0" t="0" r="0" b="0"/>
          <wp:wrapNone/>
          <wp:docPr id="202" name="BenchPaper" descr="Warm off-white interior background"/>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202" name="BenchPaper" descr="Warm off-white interior background"/>
                  <pic:cNvPicPr/>
                </pic:nvPicPr>
                <pic:blipFill>
                  <a:blip r:embed="rId1"/>
                  <a:stretch>
                    <a:fillRect/>
                  </a:stretch>
                </pic:blipFill>
                <pic:spPr>
                  <a:xfrm>
                    <a:off x="0" y="0"/>
                    <a:ext cx="7772400" cy="10058400"/>
                  </a:xfrm>
                  <a:prstGeom prst="rect">
                    <a:avLst/>
                  </a:prstGeom>
                </pic:spPr>
              </pic:pic>
            </a:graphicData>
          </a:graphic>
        </wp:anchor>
      </w:drawing>
    </w:r>
    <w:r/>
    <w:r>
      <w:rPr>
        <w:rFonts w:ascii="IBM Plex Mono" w:hAnsi="IBM Plex Mono" w:cs="IBM Plex Mono"/>
        <w:caps/>
        <w:color w:val="6B7680"/>
        <w:sz w:val="16"/>
      </w:rPr>
      <w:t>The Cyber Alchemist  ·  SCOPE Framework</w:t>
    </w:r>
    <w:r>
      <w:rPr>
        <w:rFonts w:ascii="IBM Plex Mono" w:hAnsi="IBM Plex Mono" w:cs="IBM Plex Mono"/>
      </w:rPr>
      <w:tab/>
    </w:r>
    <w:r>
      <w:rPr>
        <w:rFonts w:ascii="IBM Plex Mono" w:hAnsi="IBM Plex Mono" w:cs="IBM Plex Mono"/>
        <w:caps/>
        <w:color w:val="6B7680"/>
        <w:sz w:val="16"/>
      </w:rPr>
      <w:t>Data Governance &amp; Privacy</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embedTrueTypeFonts/>
  <w:embedSystemFonts/>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48" w:lineRule="auto" w:after="160"/>
    </w:pPr>
    <w:rPr>
      <w:rFonts w:ascii="IBM Plex Sans" w:hAnsi="IBM Plex Sans" w:cs="IBM Plex Sans"/>
      <w:color w:val="0B0E11"/>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00" w:line="252" w:lineRule="auto"/>
      <w:outlineLvl w:val="0"/>
    </w:pPr>
    <w:rPr>
      <w:rFonts w:asciiTheme="majorHAnsi" w:eastAsiaTheme="majorEastAsia" w:hAnsiTheme="majorHAnsi" w:cstheme="majorBidi" w:ascii="Sora" w:hAnsi="Sora" w:cs="Sora"/>
      <w:b w:val="0"/>
      <w:bCs/>
      <w:color w:val="0B0E11"/>
      <w:sz w:val="32"/>
      <w:szCs w:val="28"/>
    </w:rPr>
  </w:style>
  <w:style w:type="paragraph" w:styleId="Heading2">
    <w:name w:val="heading 2"/>
    <w:basedOn w:val="Normal"/>
    <w:next w:val="Normal"/>
    <w:link w:val="Heading2Char"/>
    <w:uiPriority w:val="9"/>
    <w:unhideWhenUsed/>
    <w:qFormat/>
    <w:rsid w:val="00FC693F"/>
    <w:pPr>
      <w:keepNext/>
      <w:keepLines/>
      <w:spacing w:before="200" w:after="60" w:line="252" w:lineRule="auto"/>
      <w:outlineLvl w:val="1"/>
    </w:pPr>
    <w:rPr>
      <w:rFonts w:asciiTheme="majorHAnsi" w:eastAsiaTheme="majorEastAsia" w:hAnsiTheme="majorHAnsi" w:cstheme="majorBidi" w:ascii="Sora" w:hAnsi="Sora" w:cs="Sora"/>
      <w:b w:val="0"/>
      <w:bCs/>
      <w:color w:val="0B0E1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60"/>
      <w:contextualSpacing/>
    </w:pPr>
    <w:rPr>
      <w:rFonts w:ascii="IBM Plex Sans" w:hAnsi="IBM Plex Sans" w:cs="IBM Plex Sans"/>
      <w:color w:val="3A444C"/>
      <w:sz w:val="20"/>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verKicker">
    <w:name w:val="CoverKicker"/>
    <w:basedOn w:val="Normal"/>
    <w:pPr>
      <w:spacing w:before="0" w:after="120" w:line="312" w:lineRule="auto"/>
    </w:pPr>
    <w:rPr>
      <w:rFonts w:ascii="IBM Plex Mono" w:hAnsi="IBM Plex Mono" w:cs="IBM Plex Mono"/>
      <w:b w:val="0"/>
      <w:caps/>
      <w:color w:val="21E0A0"/>
      <w:spacing w:val="40"/>
      <w:sz w:val="18"/>
    </w:rPr>
  </w:style>
  <w:style w:type="paragraph" w:customStyle="1" w:styleId="CoverTitle">
    <w:name w:val="CoverTitle"/>
    <w:basedOn w:val="Normal"/>
    <w:pPr>
      <w:spacing w:before="0" w:after="200" w:line="245" w:lineRule="auto"/>
    </w:pPr>
    <w:rPr>
      <w:rFonts w:ascii="Sora" w:hAnsi="Sora" w:cs="Sora"/>
      <w:b/>
      <w:color w:val="EAF0F2"/>
      <w:sz w:val="74"/>
    </w:rPr>
  </w:style>
  <w:style w:type="paragraph" w:customStyle="1" w:styleId="CoverDeck">
    <w:name w:val="CoverDeck"/>
    <w:basedOn w:val="Normal"/>
    <w:pPr>
      <w:spacing w:before="0" w:after="160" w:line="360" w:lineRule="auto"/>
    </w:pPr>
    <w:rPr>
      <w:rFonts w:ascii="IBM Plex Sans" w:hAnsi="IBM Plex Sans" w:cs="IBM Plex Sans"/>
      <w:b w:val="0"/>
      <w:color w:val="8FA0AB"/>
      <w:sz w:val="24"/>
    </w:rPr>
  </w:style>
  <w:style w:type="paragraph" w:customStyle="1" w:styleId="CoverAttrib">
    <w:name w:val="CoverAttrib"/>
    <w:basedOn w:val="Normal"/>
    <w:pPr>
      <w:spacing w:before="200" w:after="120" w:line="312" w:lineRule="auto"/>
    </w:pPr>
    <w:rPr>
      <w:rFonts w:ascii="IBM Plex Mono" w:hAnsi="IBM Plex Mono" w:cs="IBM Plex Mono"/>
      <w:b w:val="0"/>
      <w:color w:val="5A6B75"/>
      <w:spacing w:val="20"/>
      <w:sz w:val="19"/>
    </w:rPr>
  </w:style>
  <w:style w:type="paragraph" w:customStyle="1" w:styleId="WordMark">
    <w:name w:val="WordMark"/>
    <w:basedOn w:val="Normal"/>
    <w:pPr>
      <w:spacing w:before="0" w:after="0" w:line="264" w:lineRule="auto"/>
    </w:pPr>
    <w:rPr>
      <w:rFonts w:ascii="IBM Plex Mono" w:hAnsi="IBM Plex Mono" w:cs="IBM Plex Mono"/>
      <w:b w:val="0"/>
      <w:caps/>
      <w:color w:val="EAF0F2"/>
      <w:spacing w:val="26"/>
      <w:sz w:val="22"/>
    </w:rPr>
  </w:style>
  <w:style w:type="paragraph" w:customStyle="1" w:styleId="TileIdx">
    <w:name w:val="TileIdx"/>
    <w:basedOn w:val="Normal"/>
    <w:pPr>
      <w:spacing w:before="0" w:after="0" w:line="240" w:lineRule="auto"/>
    </w:pPr>
    <w:rPr>
      <w:rFonts w:ascii="IBM Plex Mono" w:hAnsi="IBM Plex Mono" w:cs="IBM Plex Mono"/>
      <w:b w:val="0"/>
      <w:color w:val="5A6B75"/>
      <w:spacing w:val="16"/>
      <w:sz w:val="15"/>
    </w:rPr>
  </w:style>
  <w:style w:type="paragraph" w:customStyle="1" w:styleId="TileSym">
    <w:name w:val="TileSym"/>
    <w:basedOn w:val="Normal"/>
    <w:pPr>
      <w:spacing w:before="0" w:after="0" w:line="240" w:lineRule="auto"/>
    </w:pPr>
    <w:rPr>
      <w:rFonts w:ascii="Sora" w:hAnsi="Sora" w:cs="Sora"/>
      <w:b/>
      <w:color w:val="EAF0F2"/>
      <w:sz w:val="42"/>
    </w:rPr>
  </w:style>
  <w:style w:type="paragraph" w:customStyle="1" w:styleId="TileName">
    <w:name w:val="TileName"/>
    <w:basedOn w:val="Normal"/>
    <w:pPr>
      <w:spacing w:before="80" w:after="0" w:line="240" w:lineRule="auto"/>
    </w:pPr>
    <w:rPr>
      <w:rFonts w:ascii="IBM Plex Mono" w:hAnsi="IBM Plex Mono" w:cs="IBM Plex Mono"/>
      <w:b w:val="0"/>
      <w:caps/>
      <w:color w:val="8FA0AB"/>
      <w:spacing w:val="26"/>
      <w:sz w:val="15"/>
    </w:rPr>
  </w:style>
  <w:style w:type="paragraph" w:customStyle="1" w:styleId="TileIdxG">
    <w:name w:val="TileIdxG"/>
    <w:basedOn w:val="Normal"/>
    <w:pPr>
      <w:spacing w:before="0" w:after="0" w:line="240" w:lineRule="auto"/>
    </w:pPr>
    <w:rPr>
      <w:rFonts w:ascii="IBM Plex Mono" w:hAnsi="IBM Plex Mono" w:cs="IBM Plex Mono"/>
      <w:b w:val="0"/>
      <w:color w:val="E9BD55"/>
      <w:spacing w:val="16"/>
      <w:sz w:val="15"/>
    </w:rPr>
  </w:style>
  <w:style w:type="paragraph" w:customStyle="1" w:styleId="TileSymG">
    <w:name w:val="TileSymG"/>
    <w:basedOn w:val="Normal"/>
    <w:pPr>
      <w:spacing w:before="0" w:after="0" w:line="240" w:lineRule="auto"/>
    </w:pPr>
    <w:rPr>
      <w:rFonts w:ascii="Sora" w:hAnsi="Sora" w:cs="Sora"/>
      <w:b/>
      <w:color w:val="FBE08F"/>
      <w:sz w:val="42"/>
    </w:rPr>
  </w:style>
  <w:style w:type="paragraph" w:customStyle="1" w:styleId="TileNameG">
    <w:name w:val="TileNameG"/>
    <w:basedOn w:val="Normal"/>
    <w:pPr>
      <w:spacing w:before="80" w:after="0" w:line="240" w:lineRule="auto"/>
    </w:pPr>
    <w:rPr>
      <w:rFonts w:ascii="IBM Plex Mono" w:hAnsi="IBM Plex Mono" w:cs="IBM Plex Mono"/>
      <w:b w:val="0"/>
      <w:caps/>
      <w:color w:val="E9BD55"/>
      <w:spacing w:val="26"/>
      <w:sz w:val="15"/>
    </w:rPr>
  </w:style>
  <w:style w:type="paragraph" w:customStyle="1" w:styleId="SchemeCap">
    <w:name w:val="SchemeCap"/>
    <w:basedOn w:val="Normal"/>
    <w:pPr>
      <w:spacing w:before="160" w:after="80" w:line="336" w:lineRule="auto"/>
    </w:pPr>
    <w:rPr>
      <w:rFonts w:ascii="IBM Plex Mono" w:hAnsi="IBM Plex Mono" w:cs="IBM Plex Mono"/>
      <w:b w:val="0"/>
      <w:caps/>
      <w:color w:val="5A6B75"/>
      <w:spacing w:val="24"/>
      <w:sz w:val="16"/>
    </w:rPr>
  </w:style>
  <w:style w:type="paragraph" w:customStyle="1" w:styleId="SigilTxt">
    <w:name w:val="SigilTxt"/>
    <w:basedOn w:val="Normal"/>
    <w:pPr>
      <w:spacing w:before="0" w:after="0" w:line="240" w:lineRule="auto"/>
      <w:jc w:val="center"/>
    </w:pPr>
    <w:rPr>
      <w:rFonts w:ascii="IBM Plex Mono" w:hAnsi="IBM Plex Mono" w:cs="IBM Plex Mono"/>
      <w:b/>
      <w:color w:val="FBE08F"/>
      <w:sz w:val="26"/>
    </w:rPr>
  </w:style>
  <w:style w:type="paragraph" w:customStyle="1" w:styleId="Kicker">
    <w:name w:val="Kicker"/>
    <w:basedOn w:val="Normal"/>
    <w:pPr>
      <w:spacing w:before="280" w:after="60" w:line="312" w:lineRule="auto"/>
    </w:pPr>
    <w:rPr>
      <w:rFonts w:ascii="IBM Plex Mono" w:hAnsi="IBM Plex Mono" w:cs="IBM Plex Mono"/>
      <w:b w:val="0"/>
      <w:caps/>
      <w:color w:val="0E8E66"/>
      <w:spacing w:val="34"/>
      <w:sz w:val="17"/>
    </w:rPr>
  </w:style>
  <w:style w:type="paragraph" w:customStyle="1" w:styleId="Deck">
    <w:name w:val="Deck"/>
    <w:basedOn w:val="Normal"/>
    <w:pPr>
      <w:spacing w:before="0" w:after="120" w:line="360" w:lineRule="auto"/>
    </w:pPr>
    <w:rPr>
      <w:rFonts w:ascii="IBM Plex Sans" w:hAnsi="IBM Plex Sans" w:cs="IBM Plex Sans"/>
      <w:b w:val="0"/>
      <w:color w:val="3A444C"/>
      <w:sz w:val="25"/>
    </w:rPr>
  </w:style>
  <w:style w:type="paragraph" w:customStyle="1" w:styleId="FieldLabel">
    <w:name w:val="FieldLabel"/>
    <w:basedOn w:val="Normal"/>
    <w:pPr>
      <w:spacing w:before="80" w:after="40" w:line="312" w:lineRule="auto"/>
    </w:pPr>
    <w:rPr>
      <w:rFonts w:ascii="IBM Plex Mono" w:hAnsi="IBM Plex Mono" w:cs="IBM Plex Mono"/>
      <w:b w:val="0"/>
      <w:caps/>
      <w:color w:val="6B7680"/>
      <w:spacing w:val="24"/>
      <w:sz w:val="16"/>
    </w:rPr>
  </w:style>
  <w:style w:type="paragraph" w:customStyle="1" w:styleId="Attrib2">
    <w:name w:val="Attrib2"/>
    <w:basedOn w:val="Normal"/>
    <w:pPr>
      <w:spacing w:before="0" w:after="80" w:line="312" w:lineRule="auto"/>
    </w:pPr>
    <w:rPr>
      <w:rFonts w:ascii="IBM Plex Mono" w:hAnsi="IBM Plex Mono" w:cs="IBM Plex Mono"/>
      <w:b w:val="0"/>
      <w:color w:val="6B7680"/>
      <w:spacing w:val="16"/>
      <w:sz w:val="16"/>
    </w:rPr>
  </w:style>
  <w:style w:type="paragraph" w:customStyle="1" w:styleId="Badge">
    <w:name w:val="Badge"/>
    <w:basedOn w:val="Normal"/>
    <w:pPr>
      <w:spacing w:before="40" w:after="80" w:line="312" w:lineRule="auto"/>
    </w:pPr>
    <w:rPr>
      <w:rFonts w:ascii="IBM Plex Mono" w:hAnsi="IBM Plex Mono" w:cs="IBM Plex Mono"/>
      <w:b w:val="0"/>
      <w:caps/>
      <w:color w:val="3A444C"/>
      <w:spacing w:val="22"/>
      <w:sz w:val="17"/>
    </w:rPr>
  </w:style>
  <w:style w:type="paragraph" w:customStyle="1" w:styleId="HeadCellTxt">
    <w:name w:val="HeadCellTxt"/>
    <w:basedOn w:val="Normal"/>
    <w:pPr>
      <w:spacing w:before="0" w:after="0" w:line="312" w:lineRule="auto"/>
    </w:pPr>
    <w:rPr>
      <w:rFonts w:ascii="IBM Plex Mono" w:hAnsi="IBM Plex Mono" w:cs="IBM Plex Mono"/>
      <w:b w:val="0"/>
      <w:caps/>
      <w:color w:val="6B7680"/>
      <w:spacing w:val="22"/>
      <w:sz w:val="16"/>
    </w:rPr>
  </w:style>
  <w:style w:type="paragraph" w:customStyle="1" w:styleId="CellTxt">
    <w:name w:val="CellTxt"/>
    <w:basedOn w:val="Normal"/>
    <w:pPr>
      <w:spacing w:before="0" w:after="0" w:line="312" w:lineRule="auto"/>
    </w:pPr>
    <w:rPr>
      <w:rFonts w:ascii="IBM Plex Sans" w:hAnsi="IBM Plex Sans" w:cs="IBM Plex Sans"/>
      <w:b w:val="0"/>
      <w:color w:val="0B0E11"/>
      <w:sz w:val="20"/>
    </w:rPr>
  </w:style>
  <w:style w:type="paragraph" w:customStyle="1" w:styleId="Placeholder">
    <w:name w:val="Placeholder"/>
    <w:basedOn w:val="Normal"/>
    <w:pPr>
      <w:spacing w:before="0" w:after="0" w:line="312" w:lineRule="auto"/>
    </w:pPr>
    <w:rPr>
      <w:rFonts w:ascii="IBM Plex Sans" w:hAnsi="IBM Plex Sans" w:cs="IBM Plex Sans"/>
      <w:b w:val="0"/>
      <w:color w:val="6B7680"/>
      <w:sz w:val="20"/>
    </w:rPr>
  </w:style>
  <w:style w:type="paragraph" w:customStyle="1" w:styleId="RunHead">
    <w:name w:val="RunHead"/>
    <w:basedOn w:val="Normal"/>
    <w:pPr>
      <w:spacing w:before="0" w:after="0" w:line="312" w:lineRule="auto"/>
    </w:pPr>
    <w:rPr>
      <w:rFonts w:ascii="IBM Plex Mono" w:hAnsi="IBM Plex Mono" w:cs="IBM Plex Mono"/>
      <w:b w:val="0"/>
      <w:caps/>
      <w:color w:val="6B7680"/>
      <w:spacing w:val="16"/>
      <w:sz w:val="16"/>
    </w:rPr>
  </w:style>
  <w:style w:type="paragraph" w:customStyle="1" w:styleId="TierName">
    <w:name w:val="TierName"/>
    <w:basedOn w:val="Normal"/>
    <w:pPr>
      <w:spacing w:before="80" w:after="40" w:line="252" w:lineRule="auto"/>
    </w:pPr>
    <w:rPr>
      <w:rFonts w:ascii="Sora" w:hAnsi="Sora" w:cs="Sora"/>
      <w:b w:val="0"/>
      <w:color w:val="0B0E11"/>
      <w:sz w:val="30"/>
    </w:rPr>
  </w:style>
  <w:style w:type="paragraph" w:customStyle="1" w:styleId="MiniLabel">
    <w:name w:val="MiniLabel"/>
    <w:basedOn w:val="Normal"/>
    <w:pPr>
      <w:spacing w:before="120" w:after="40" w:line="312" w:lineRule="auto"/>
    </w:pPr>
    <w:rPr>
      <w:rFonts w:ascii="IBM Plex Mono" w:hAnsi="IBM Plex Mono" w:cs="IBM Plex Mono"/>
      <w:b w:val="0"/>
      <w:caps/>
      <w:color w:val="0E8E66"/>
      <w:spacing w:val="22"/>
      <w:sz w:val="16"/>
    </w:rPr>
  </w:style>
  <w:style w:type="paragraph" w:customStyle="1" w:styleId="BoxText">
    <w:name w:val="BoxText"/>
    <w:basedOn w:val="Normal"/>
    <w:pPr>
      <w:spacing w:before="0" w:after="0" w:line="336" w:lineRule="auto"/>
    </w:pPr>
    <w:rPr>
      <w:rFonts w:ascii="IBM Plex Sans" w:hAnsi="IBM Plex Sans" w:cs="IBM Plex Sans"/>
      <w:b w:val="0"/>
      <w:color w:val="0B0E11"/>
      <w:sz w:val="20"/>
    </w:rPr>
  </w:style>
  <w:style w:type="paragraph" w:customStyle="1" w:styleId="BoxPlaceholder">
    <w:name w:val="BoxPlaceholder"/>
    <w:basedOn w:val="Normal"/>
    <w:pPr>
      <w:spacing w:before="0" w:after="0" w:line="336" w:lineRule="auto"/>
    </w:pPr>
    <w:rPr>
      <w:rFonts w:ascii="IBM Plex Sans" w:hAnsi="IBM Plex Sans" w:cs="IBM Plex Sans"/>
      <w:b w:val="0"/>
      <w:color w:val="6B7680"/>
      <w:sz w:val="20"/>
    </w:rPr>
  </w:style>
  <w:style w:type="paragraph" w:customStyle="1" w:styleId="CalloutText">
    <w:name w:val="CalloutText"/>
    <w:basedOn w:val="Normal"/>
    <w:pPr>
      <w:spacing w:before="0" w:after="0" w:line="348" w:lineRule="auto"/>
    </w:pPr>
    <w:rPr>
      <w:rFonts w:ascii="IBM Plex Sans" w:hAnsi="IBM Plex Sans" w:cs="IBM Plex Sans"/>
      <w:b w:val="0"/>
      <w:color w:val="0B0E11"/>
      <w:sz w:val="21"/>
    </w:rPr>
  </w:style>
  <w:style w:type="paragraph" w:customStyle="1" w:styleId="ExtFlag">
    <w:name w:val="ExtFlag"/>
    <w:basedOn w:val="Normal"/>
    <w:pPr>
      <w:spacing w:before="40" w:after="40" w:line="312" w:lineRule="auto"/>
    </w:pPr>
    <w:rPr>
      <w:rFonts w:ascii="IBM Plex Mono" w:hAnsi="IBM Plex Mono" w:cs="IBM Plex Mono"/>
      <w:b w:val="0"/>
      <w:caps/>
      <w:color w:val="0E8E66"/>
      <w:spacing w:val="26"/>
      <w:sz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cover_dark.png"/><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Sora-regular.odttf"/><Relationship Id="rId2" Type="http://schemas.openxmlformats.org/officeDocument/2006/relationships/font" Target="fonts/Sora-bold.odttf"/><Relationship Id="rId3" Type="http://schemas.openxmlformats.org/officeDocument/2006/relationships/font" Target="fonts/IBMPlexSans-regular.odttf"/><Relationship Id="rId4" Type="http://schemas.openxmlformats.org/officeDocument/2006/relationships/font" Target="fonts/IBMPlexSans-bold.odttf"/><Relationship Id="rId5" Type="http://schemas.openxmlformats.org/officeDocument/2006/relationships/font" Target="fonts/IBMPlexMono-regular.odttf"/><Relationship Id="rId6" Type="http://schemas.openxmlformats.org/officeDocument/2006/relationships/font" Target="fonts/IBMPlexMono-bold.odttf"/></Relationships>
</file>

<file path=word/_rels/header1.xml.rels><?xml version='1.0' encoding='UTF-8' standalone='yes'?>
<Relationships xmlns="http://schemas.openxmlformats.org/package/2006/relationships"><Relationship Id="rId1" Type="http://schemas.openxmlformats.org/officeDocument/2006/relationships/image" Target="media/bench_paper.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Framework - Data Governance and Privacy Control Domain</dc:title>
  <dc:subject>SCOPE, Strategic Cybersecurity Operations and Protection for Enterprises</dc:subject>
  <dc:creator>Tim D. Tipton Jr.</dc:creator>
  <cp:keywords>SCOPE, cybersecurity, controls, maturity model, crosswalk</cp:keywords>
  <dc:description/>
  <cp:lastModifiedBy>Tim D. Tipton Jr.</cp:lastModifiedBy>
  <cp:revision>1</cp:revision>
  <dcterms:created xsi:type="dcterms:W3CDTF">2026-07-22T00:00:00Z</dcterms:created>
  <dcterms:modified xsi:type="dcterms:W3CDTF">2026-07-22T00:00:00Z</dcterms:modified>
  <cp:category>Cybersecurity Framework</cp:category>
  <dc:language>en-US</dc:language>
</cp:coreProperties>
</file>