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IBMPlexMono-bold.odttf" ContentType="application/vnd.openxmlformats-officedocument.obfuscatedFont"/>
  <Override PartName="/word/fonts/IBMPlexMono-regular.odttf" ContentType="application/vnd.openxmlformats-officedocument.obfuscatedFont"/>
  <Override PartName="/word/fonts/IBMPlexSans-bold.odttf" ContentType="application/vnd.openxmlformats-officedocument.obfuscatedFont"/>
  <Override PartName="/word/fonts/IBMPlexSans-regular.odttf" ContentType="application/vnd.openxmlformats-officedocument.obfuscatedFont"/>
  <Override PartName="/word/fonts/Sora-bold.odttf" ContentType="application/vnd.openxmlformats-officedocument.obfuscatedFont"/>
  <Override PartName="/word/fonts/Sora-regular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drawing>
          <wp:anchor distT="0" distB="0" distL="0" distR="0"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1" name="CoverBackground" descr="Dark cover background panel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CoverBackground" descr="Dark cover background pane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8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firstColumn="1" w:firstRow="1" w:lastColumn="0" w:lastRow="0" w:noHBand="0" w:noVBand="1" w:val="04A0"/>
      </w:tblPr>
      <w:tblGrid>
        <w:gridCol w:w="620"/>
        <w:gridCol w:w="9460"/>
      </w:tblGrid>
      <w:tr>
        <w:tc>
          <w:tcPr>
            <w:tcW w:type="dxa" w:w="620"/>
            <w:tcBorders>
              <w:top w:val="single" w:sz="8" w:space="0" w:color="E9BD55"/>
              <w:left w:val="single" w:sz="8" w:space="0" w:color="E9BD55"/>
              <w:bottom w:val="single" w:sz="8" w:space="0" w:color="E9BD55"/>
              <w:right w:val="single" w:sz="8" w:space="0" w:color="E9BD55"/>
            </w:tcBorders>
            <w:shd w:val="clear" w:color="auto" w:fill="141C22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>
            <w:pPr>
              <w:pStyle w:val="SigilTxt"/>
              <w:jc w:val="center"/>
            </w:pPr>
            <w:r>
              <w:rPr>
                <w:rFonts w:ascii="IBM Plex Mono" w:hAnsi="IBM Plex Mono" w:cs="IBM Plex Mono"/>
                <w:color w:val="5A6B75"/>
                <w:sz w:val="12"/>
              </w:rPr>
              <w:t>79</w:t>
            </w:r>
            <w:r>
              <w:rPr>
                <w:rFonts w:ascii="IBM Plex Mono" w:hAnsi="IBM Plex Mono" w:cs="IBM Plex Mono"/>
                <w:b/>
                <w:color w:val="FBE08F"/>
                <w:sz w:val="26"/>
              </w:rPr>
              <w:t xml:space="preserve"> Au</w:t>
            </w:r>
          </w:p>
        </w:tc>
        <w:tc>
          <w:tcPr>
            <w:tcW w:type="dxa" w:w="9460"/>
            <w:vAlign w:val="center"/>
          </w:tcPr>
          <w:p>
            <w:pPr>
              <w:pStyle w:val="WordMark"/>
            </w:pPr>
            <w:r>
              <w:rPr>
                <w:rFonts w:ascii="IBM Plex Mono" w:hAnsi="IBM Plex Mono" w:cs="IBM Plex Mono"/>
                <w:caps/>
                <w:color w:val="EAF0F2"/>
                <w:sz w:val="22"/>
              </w:rPr>
              <w:t>Cyber Alchemist</w:t>
            </w:r>
          </w:p>
        </w:tc>
      </w:tr>
    </w:tbl>
    <w:p>
      <w:pPr>
        <w:pStyle w:val="CoverKicker"/>
      </w:pPr>
      <w:r/>
      <w:r>
        <w:rPr>
          <w:rFonts w:ascii="IBM Plex Mono" w:hAnsi="IBM Plex Mono" w:cs="IBM Plex Mono"/>
          <w:color w:val="10A878"/>
          <w:sz w:val="18"/>
        </w:rPr>
        <w:t xml:space="preserve">// </w:t>
      </w:r>
      <w:r>
        <w:rPr>
          <w:rFonts w:ascii="IBM Plex Mono" w:hAnsi="IBM Plex Mono" w:cs="IBM Plex Mono"/>
          <w:caps/>
          <w:color w:val="21E0A0"/>
          <w:sz w:val="18"/>
        </w:rPr>
        <w:t>decision rights</w:t>
      </w:r>
    </w:p>
    <w:p>
      <w:pPr>
        <w:pStyle w:val="CoverTitle"/>
      </w:pPr>
      <w:r>
        <w:t>Decision Rights &amp; Escalation Model</w:t>
      </w:r>
    </w:p>
    <w:p>
      <w:pPr>
        <w:pStyle w:val="CoverDeck"/>
      </w:pPr>
      <w:r>
        <w:t>Who decides what, at which level, and when to escalate.</w:t>
      </w:r>
    </w:p>
    <w:p>
      <w:pPr>
        <w:pStyle w:val="CoverAttrib"/>
      </w:pPr>
      <w:r>
        <w:t>Tim D. Tipton Jr.  ·  The Cyber Alchemist</w:t>
      </w:r>
    </w:p>
    <w:p>
      <w:pPr>
        <w:sectPr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document control</w:t>
      </w:r>
    </w:p>
    <w:tbl>
      <w:tblPr>
        <w:tblW w:w="9360" w:type="dxa"/>
        <w:tblLook w:firstColumn="1" w:firstRow="1" w:lastColumn="0" w:lastRow="0" w:noHBand="0" w:noVBand="1" w:val="04A0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Field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Entry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Organization name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organization name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Policy owner, role and name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role and name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Effective date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date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Version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1.0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Classification of this document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Internal</w:t>
            </w:r>
          </w:p>
        </w:tc>
      </w:tr>
      <w:tr>
        <w:tc>
          <w:tcPr>
            <w:tcW w:type="dxa" w:w="26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Next review date</w:t>
            </w:r>
          </w:p>
        </w:tc>
        <w:tc>
          <w:tcPr>
            <w:tcW w:type="dxa" w:w="67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date</w:t>
            </w:r>
          </w:p>
        </w:tc>
      </w:tr>
    </w:tbl>
    <w:p>
      <w:pPr>
        <w:pStyle w:val="Kicker"/>
      </w:pPr>
      <w:r>
        <w:t>// document control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pStyle w:val="HeadCellTxt"/>
            </w:pPr>
            <w:r>
              <w:t>Field</w:t>
            </w:r>
          </w:p>
        </w:tc>
        <w:tc>
          <w:tcPr>
            <w:tcW w:type="dxa" w:w="4680"/>
          </w:tcPr>
          <w:p>
            <w:pPr>
              <w:pStyle w:val="HeadCellTxt"/>
            </w:pPr>
            <w:r>
              <w:t>Entry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Framework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SCOPE, Strategic Cybersecurity Operations and Protection for Enterprises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Document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Decision Rights &amp; Escalation Model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Author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Tim D. Tipton Jr.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Version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1.0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Date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2026-07-22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License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CC BY 4.0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Trademark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SCOPE is a trademark of Tim D. Tipton Jr.</w:t>
            </w:r>
          </w:p>
        </w:tc>
      </w:tr>
      <w:tr>
        <w:tc>
          <w:tcPr>
            <w:tcW w:type="dxa" w:w="4680"/>
          </w:tcPr>
          <w:p>
            <w:pPr>
              <w:pStyle w:val="CellTxt"/>
            </w:pPr>
            <w:r>
              <w:t>Canonical source</w:t>
            </w:r>
          </w:p>
        </w:tc>
        <w:tc>
          <w:tcPr>
            <w:tcW w:type="dxa" w:w="4680"/>
          </w:tcPr>
          <w:p>
            <w:pPr>
              <w:pStyle w:val="CellTxt"/>
            </w:pPr>
            <w:r>
              <w:t>timtiptonjr.com/scope-hub</w:t>
            </w:r>
          </w:p>
        </w:tc>
      </w:tr>
    </w:tbl>
    <w:p>
      <w:pPr/>
      <w:r>
        <w:t>A Tiered Approach to Governance, Risk Management, and Security Operations</w:t>
      </w:r>
    </w:p>
    <w:p>
      <w:pPr>
        <w:pStyle w:val="Kicker"/>
      </w:pPr>
      <w:r>
        <w:t>// overview of cybersecurity</w:t>
      </w:r>
    </w:p>
    <w:p>
      <w:pPr>
        <w:pStyle w:val="Heading1"/>
      </w:pPr>
      <w:r>
        <w:t>Overview of Cybersecurity Decision-Making in the Private Sector</w:t>
      </w:r>
    </w:p>
    <w:p>
      <w:pPr/>
      <w:r>
        <w:t>Decision-making in cybersecurity must balance business objectives, risk tolerance, and operational realities. A well-structured governance model ensures clear accountability, efficient escalation processes, and proactive risk management.</w:t>
      </w:r>
    </w:p>
    <w:p>
      <w:pPr/>
      <w:r>
        <w:t>This structure follows a tiered model, allowing decisions to be made at appropriate levels while ensuring alignment with strategic objectives and regulatory requirements.</w:t>
      </w:r>
    </w:p>
    <w:p>
      <w:pPr>
        <w:pStyle w:val="Kicker"/>
      </w:pPr>
      <w:r>
        <w:t>// decision-making tiers</w:t>
      </w:r>
    </w:p>
    <w:p>
      <w:pPr>
        <w:pStyle w:val="Heading1"/>
      </w:pPr>
      <w:r>
        <w:t>Decision-Making Tiers &amp; Responsibilities</w:t>
      </w:r>
    </w:p>
    <w:p>
      <w:pPr>
        <w:pStyle w:val="Heading2"/>
      </w:pPr>
      <w:r>
        <w:t>Tier 1: Strategic Decision-Making (Board &amp; Executive Leadership)</w:t>
      </w:r>
    </w:p>
    <w:p>
      <w:pPr>
        <w:pStyle w:val="MiniLabel"/>
      </w:pPr>
      <w:r>
        <w:t>Who?</w:t>
      </w:r>
    </w:p>
    <w:p>
      <w:pPr>
        <w:pStyle w:val="ListBullet"/>
      </w:pPr>
      <w:r>
        <w:t>Board of Directors</w:t>
      </w:r>
    </w:p>
    <w:p>
      <w:pPr>
        <w:pStyle w:val="ListBullet"/>
      </w:pPr>
      <w:r>
        <w:t>Chief Executive Officer (CEO)</w:t>
      </w:r>
    </w:p>
    <w:p>
      <w:pPr>
        <w:pStyle w:val="ListBullet"/>
      </w:pPr>
      <w:r>
        <w:t>Chief Information Security Officer (CISO)</w:t>
      </w:r>
    </w:p>
    <w:p>
      <w:pPr>
        <w:pStyle w:val="ListBullet"/>
      </w:pPr>
      <w:r>
        <w:t>Chief Information Officer (CIO)</w:t>
      </w:r>
    </w:p>
    <w:p>
      <w:pPr>
        <w:pStyle w:val="ListBullet"/>
      </w:pPr>
      <w:r>
        <w:t>Chief Risk Officer (CRO)</w:t>
      </w:r>
    </w:p>
    <w:p>
      <w:pPr>
        <w:pStyle w:val="ListBullet"/>
      </w:pPr>
      <w:r>
        <w:t>Chief Financial Officer (CFO)</w:t>
      </w:r>
    </w:p>
    <w:p>
      <w:pPr>
        <w:pStyle w:val="ListBullet"/>
      </w:pPr>
      <w:r>
        <w:t>Chief Legal Officer (CLO)</w:t>
      </w:r>
    </w:p>
    <w:p>
      <w:pPr>
        <w:pStyle w:val="ListBullet"/>
      </w:pPr>
      <w:r>
        <w:t>Other Business Unit Executives</w:t>
      </w:r>
    </w:p>
    <w:p>
      <w:pPr>
        <w:pStyle w:val="MiniLabel"/>
      </w:pPr>
      <w:r>
        <w:t>Scope of Decisions</w:t>
      </w:r>
    </w:p>
    <w:p>
      <w:pPr>
        <w:pStyle w:val="ListBullet"/>
      </w:pPr>
      <w:r>
        <w:t>Cybersecurity budget allocation and investment decisions.</w:t>
      </w:r>
    </w:p>
    <w:p>
      <w:pPr>
        <w:pStyle w:val="ListBullet"/>
      </w:pPr>
      <w:r>
        <w:t>Defining risk appetite and tolerances for cyber risks.</w:t>
      </w:r>
    </w:p>
    <w:p>
      <w:pPr>
        <w:pStyle w:val="ListBullet"/>
      </w:pPr>
      <w:r>
        <w:t>Approving enterprise-wide security policies and frameworks.</w:t>
      </w:r>
    </w:p>
    <w:p>
      <w:pPr>
        <w:pStyle w:val="ListBullet"/>
      </w:pPr>
      <w:r>
        <w:t>Reviewing high-level security risk assessments and compliance reports.</w:t>
      </w:r>
    </w:p>
    <w:p>
      <w:pPr>
        <w:pStyle w:val="ListBullet"/>
      </w:pPr>
      <w:r>
        <w:t>Authorizing major security initiatives (e.g., Zero Trust, cloud security).</w:t>
      </w:r>
    </w:p>
    <w:p>
      <w:pPr>
        <w:pStyle w:val="ListBullet"/>
      </w:pPr>
      <w:r>
        <w:t>Approving cyber insurance policies and risk transfer strategies.</w:t>
      </w:r>
    </w:p>
    <w:p>
      <w:pPr>
        <w:pStyle w:val="ListBullet"/>
      </w:pPr>
      <w:r>
        <w:t>Managing regulatory and legal risk exposure.</w:t>
      </w:r>
    </w:p>
    <w:p>
      <w:pPr>
        <w:pStyle w:val="ListBullet"/>
      </w:pPr>
      <w:r>
        <w:t>Leading incident response crisis management for high-impact breaches.</w:t>
      </w:r>
    </w:p>
    <w:p>
      <w:pPr>
        <w:pStyle w:val="MiniLabel"/>
      </w:pPr>
      <w:r>
        <w:t>Decision Triggers</w:t>
      </w:r>
    </w:p>
    <w:p>
      <w:pPr>
        <w:pStyle w:val="ListBullet"/>
      </w:pPr>
      <w:r>
        <w:t>Annual budget planning cycles.</w:t>
      </w:r>
    </w:p>
    <w:p>
      <w:pPr>
        <w:pStyle w:val="ListBullet"/>
      </w:pPr>
      <w:r>
        <w:t>Major security incidents or breaches.</w:t>
      </w:r>
    </w:p>
    <w:p>
      <w:pPr>
        <w:pStyle w:val="ListBullet"/>
      </w:pPr>
      <w:r>
        <w:t>Regulatory changes (GDPR, CMMC, NIST updates, etc.).</w:t>
      </w:r>
    </w:p>
    <w:p>
      <w:pPr>
        <w:pStyle w:val="ListBullet"/>
      </w:pPr>
      <w:r>
        <w:t>Business expansions, acquisitions, or mergers.</w:t>
      </w:r>
    </w:p>
    <w:p>
      <w:pPr>
        <w:pStyle w:val="ListBullet"/>
      </w:pPr>
      <w:r>
        <w:t>Threat landscape shifts (e.g., rise in ransomware attacks).</w:t>
      </w:r>
    </w:p>
    <w:p>
      <w:pPr>
        <w:pStyle w:val="Heading2"/>
      </w:pPr>
      <w:r>
        <w:t>Tier 2: Operational Decision-Making (Security Leadership &amp; Risk Management)</w:t>
      </w:r>
    </w:p>
    <w:p>
      <w:pPr>
        <w:pStyle w:val="MiniLabel"/>
      </w:pPr>
      <w:r>
        <w:t>Who?</w:t>
      </w:r>
    </w:p>
    <w:p>
      <w:pPr>
        <w:pStyle w:val="ListBullet"/>
      </w:pPr>
      <w:r>
        <w:t>Vice President (VP) or Director of Cybersecurity</w:t>
      </w:r>
    </w:p>
    <w:p>
      <w:pPr>
        <w:pStyle w:val="ListBullet"/>
      </w:pPr>
      <w:r>
        <w:t>Security Governance, Risk &amp; Compliance (GRC) Leaders</w:t>
      </w:r>
    </w:p>
    <w:p>
      <w:pPr>
        <w:pStyle w:val="ListBullet"/>
      </w:pPr>
      <w:r>
        <w:t>Security Architecture &amp; Engineering Leads</w:t>
      </w:r>
    </w:p>
    <w:p>
      <w:pPr>
        <w:pStyle w:val="ListBullet"/>
      </w:pPr>
      <w:r>
        <w:t>Security Operations Center (SOC) Director</w:t>
      </w:r>
    </w:p>
    <w:p>
      <w:pPr>
        <w:pStyle w:val="ListBullet"/>
      </w:pPr>
      <w:r>
        <w:t>Incident Response (IR) Manager</w:t>
      </w:r>
    </w:p>
    <w:p>
      <w:pPr>
        <w:pStyle w:val="ListBullet"/>
      </w:pPr>
      <w:r>
        <w:t>Third-Party Risk &amp; Vendor Security Manager</w:t>
      </w:r>
    </w:p>
    <w:p>
      <w:pPr>
        <w:pStyle w:val="MiniLabel"/>
      </w:pPr>
      <w:r>
        <w:t>Scope of Decisions</w:t>
      </w:r>
    </w:p>
    <w:p>
      <w:pPr>
        <w:pStyle w:val="ListBullet"/>
      </w:pPr>
      <w:r>
        <w:t>Defining security policies, standards, and control baselines.</w:t>
      </w:r>
    </w:p>
    <w:p>
      <w:pPr>
        <w:pStyle w:val="ListBullet"/>
      </w:pPr>
      <w:r>
        <w:t>Risk-based prioritization of security initiatives.</w:t>
      </w:r>
    </w:p>
    <w:p>
      <w:pPr>
        <w:pStyle w:val="ListBullet"/>
      </w:pPr>
      <w:r>
        <w:t>Vendor selection for security tools and managed services.</w:t>
      </w:r>
    </w:p>
    <w:p>
      <w:pPr>
        <w:pStyle w:val="ListBullet"/>
      </w:pPr>
      <w:r>
        <w:t>Security technology procurement and deployment approvals.</w:t>
      </w:r>
    </w:p>
    <w:p>
      <w:pPr>
        <w:pStyle w:val="ListBullet"/>
      </w:pPr>
      <w:r>
        <w:t>Overseeing compliance frameworks (ISO 27001, NIST, SOC 2, PCI DSS).</w:t>
      </w:r>
    </w:p>
    <w:p>
      <w:pPr>
        <w:pStyle w:val="ListBullet"/>
      </w:pPr>
      <w:r>
        <w:t>Approving incident response and business continuity plans.</w:t>
      </w:r>
    </w:p>
    <w:p>
      <w:pPr>
        <w:pStyle w:val="ListBullet"/>
      </w:pPr>
      <w:r>
        <w:t>Aligning security operations with business objectives.</w:t>
      </w:r>
    </w:p>
    <w:p>
      <w:pPr>
        <w:pStyle w:val="MiniLabel"/>
      </w:pPr>
      <w:r>
        <w:t>Decision Triggers</w:t>
      </w:r>
    </w:p>
    <w:p>
      <w:pPr>
        <w:pStyle w:val="ListBullet"/>
      </w:pPr>
      <w:r>
        <w:t>Security audit findings or compliance gaps.</w:t>
      </w:r>
    </w:p>
    <w:p>
      <w:pPr>
        <w:pStyle w:val="ListBullet"/>
      </w:pPr>
      <w:r>
        <w:t>Emerging threats requiring security control adjustments.</w:t>
      </w:r>
    </w:p>
    <w:p>
      <w:pPr>
        <w:pStyle w:val="ListBullet"/>
      </w:pPr>
      <w:r>
        <w:t>System architecture changes or migrations (e.g., cloud adoption).</w:t>
      </w:r>
    </w:p>
    <w:p>
      <w:pPr>
        <w:pStyle w:val="ListBullet"/>
      </w:pPr>
      <w:r>
        <w:t>Vendor risk assessments and contract renewals.</w:t>
      </w:r>
    </w:p>
    <w:p>
      <w:pPr>
        <w:pStyle w:val="ListBullet"/>
      </w:pPr>
      <w:r>
        <w:t>Operational impact assessments of security initiatives.</w:t>
      </w:r>
    </w:p>
    <w:p>
      <w:pPr>
        <w:pStyle w:val="Heading2"/>
      </w:pPr>
      <w:r>
        <w:t>Tier 3: Tactical Decision-Making (Security Operations &amp; Technical Teams)</w:t>
      </w:r>
    </w:p>
    <w:p>
      <w:pPr>
        <w:pStyle w:val="MiniLabel"/>
      </w:pPr>
      <w:r>
        <w:t>Who?</w:t>
      </w:r>
    </w:p>
    <w:p>
      <w:pPr>
        <w:pStyle w:val="ListBullet"/>
      </w:pPr>
      <w:r>
        <w:t>Security Architects &amp; Engineers</w:t>
      </w:r>
    </w:p>
    <w:p>
      <w:pPr>
        <w:pStyle w:val="ListBullet"/>
      </w:pPr>
      <w:r>
        <w:t>Security Operations Center (SOC) Analysts</w:t>
      </w:r>
    </w:p>
    <w:p>
      <w:pPr>
        <w:pStyle w:val="ListBullet"/>
      </w:pPr>
      <w:r>
        <w:t>Incident Response (IR) Analysts</w:t>
      </w:r>
    </w:p>
    <w:p>
      <w:pPr>
        <w:pStyle w:val="ListBullet"/>
      </w:pPr>
      <w:r>
        <w:t>Threat Intelligence Analysts</w:t>
      </w:r>
    </w:p>
    <w:p>
      <w:pPr>
        <w:pStyle w:val="ListBullet"/>
      </w:pPr>
      <w:r>
        <w:t>Identity &amp; Access Management (IAM) Specialists</w:t>
      </w:r>
    </w:p>
    <w:p>
      <w:pPr>
        <w:pStyle w:val="ListBullet"/>
      </w:pPr>
      <w:r>
        <w:t>DevSecOps &amp; Secure Software Engineers</w:t>
      </w:r>
    </w:p>
    <w:p>
      <w:pPr>
        <w:pStyle w:val="MiniLabel"/>
      </w:pPr>
      <w:r>
        <w:t>Scope of Decisions</w:t>
      </w:r>
    </w:p>
    <w:p>
      <w:pPr>
        <w:pStyle w:val="ListBullet"/>
      </w:pPr>
      <w:r>
        <w:t>Configuring firewalls, endpoint security, SIEM, and cloud security controls.</w:t>
      </w:r>
    </w:p>
    <w:p>
      <w:pPr>
        <w:pStyle w:val="ListBullet"/>
      </w:pPr>
      <w:r>
        <w:t>Investigating and remediating security alerts and incidents.</w:t>
      </w:r>
    </w:p>
    <w:p>
      <w:pPr>
        <w:pStyle w:val="ListBullet"/>
      </w:pPr>
      <w:r>
        <w:t>Tuning detection rules and threat intelligence feeds.</w:t>
      </w:r>
    </w:p>
    <w:p>
      <w:pPr>
        <w:pStyle w:val="ListBullet"/>
      </w:pPr>
      <w:r>
        <w:t>Managing vulnerability scanning and patching cycles.</w:t>
      </w:r>
    </w:p>
    <w:p>
      <w:pPr>
        <w:pStyle w:val="ListBullet"/>
      </w:pPr>
      <w:r>
        <w:t>Implementing IAM policies (RBAC, MFA, SSO, privileged access).</w:t>
      </w:r>
    </w:p>
    <w:p>
      <w:pPr>
        <w:pStyle w:val="ListBullet"/>
      </w:pPr>
      <w:r>
        <w:t>Deploying and managing security automation tools.</w:t>
      </w:r>
    </w:p>
    <w:p>
      <w:pPr>
        <w:pStyle w:val="ListBullet"/>
      </w:pPr>
      <w:r>
        <w:t>Conducting penetration testing and security assessments.</w:t>
      </w:r>
    </w:p>
    <w:p>
      <w:pPr>
        <w:pStyle w:val="MiniLabel"/>
      </w:pPr>
      <w:r>
        <w:t>Decision Triggers</w:t>
      </w:r>
    </w:p>
    <w:p>
      <w:pPr>
        <w:pStyle w:val="ListBullet"/>
      </w:pPr>
      <w:r>
        <w:t>Alerts from SIEM, XDR, or other security monitoring tools.</w:t>
      </w:r>
    </w:p>
    <w:p>
      <w:pPr>
        <w:pStyle w:val="ListBullet"/>
      </w:pPr>
      <w:r>
        <w:t>Identified vulnerabilities or misconfigurations.</w:t>
      </w:r>
    </w:p>
    <w:p>
      <w:pPr>
        <w:pStyle w:val="ListBullet"/>
      </w:pPr>
      <w:r>
        <w:t>Adversary simulations or red team assessments.</w:t>
      </w:r>
    </w:p>
    <w:p>
      <w:pPr>
        <w:pStyle w:val="ListBullet"/>
      </w:pPr>
      <w:r>
        <w:t>Changes in user access or authentication requirements.</w:t>
      </w:r>
    </w:p>
    <w:p>
      <w:pPr>
        <w:pStyle w:val="ListBullet"/>
      </w:pPr>
      <w:r>
        <w:t>Performance and efficacy reviews of security controls.</w:t>
      </w:r>
    </w:p>
    <w:p>
      <w:pPr>
        <w:pStyle w:val="Heading2"/>
      </w:pPr>
      <w:r>
        <w:t>Tier 4: Execution-Level Decision-Making (Day-to-Day Security Operations)</w:t>
      </w:r>
    </w:p>
    <w:p>
      <w:pPr>
        <w:pStyle w:val="MiniLabel"/>
      </w:pPr>
      <w:r>
        <w:t>Who?</w:t>
      </w:r>
    </w:p>
    <w:p>
      <w:pPr>
        <w:pStyle w:val="ListBullet"/>
      </w:pPr>
      <w:r>
        <w:t>Security Analysts (SOC Level 1 &amp; 2)</w:t>
      </w:r>
    </w:p>
    <w:p>
      <w:pPr>
        <w:pStyle w:val="ListBullet"/>
      </w:pPr>
      <w:r>
        <w:t>IT Help Desk &amp; Security Administrators</w:t>
      </w:r>
    </w:p>
    <w:p>
      <w:pPr>
        <w:pStyle w:val="ListBullet"/>
      </w:pPr>
      <w:r>
        <w:t>System Administrators &amp; Cloud Engineers</w:t>
      </w:r>
    </w:p>
    <w:p>
      <w:pPr>
        <w:pStyle w:val="ListBullet"/>
      </w:pPr>
      <w:r>
        <w:t>DevOps &amp; Development Teams</w:t>
      </w:r>
    </w:p>
    <w:p>
      <w:pPr>
        <w:pStyle w:val="MiniLabel"/>
      </w:pPr>
      <w:r>
        <w:t>Scope of Decisions</w:t>
      </w:r>
    </w:p>
    <w:p>
      <w:pPr>
        <w:pStyle w:val="ListBullet"/>
      </w:pPr>
      <w:r>
        <w:t>Triage and escalate security alerts.</w:t>
      </w:r>
    </w:p>
    <w:p>
      <w:pPr>
        <w:pStyle w:val="ListBullet"/>
      </w:pPr>
      <w:r>
        <w:t>Enforce identity and access requests (password resets, role changes).</w:t>
      </w:r>
    </w:p>
    <w:p>
      <w:pPr>
        <w:pStyle w:val="ListBullet"/>
      </w:pPr>
      <w:r>
        <w:t>Apply security patches and endpoint protection updates.</w:t>
      </w:r>
    </w:p>
    <w:p>
      <w:pPr>
        <w:pStyle w:val="ListBullet"/>
      </w:pPr>
      <w:r>
        <w:t>Implement basic security awareness training for end-users.</w:t>
      </w:r>
    </w:p>
    <w:p>
      <w:pPr>
        <w:pStyle w:val="ListBullet"/>
      </w:pPr>
      <w:r>
        <w:t>Monitor security logs and escalate anomalies.</w:t>
      </w:r>
    </w:p>
    <w:p>
      <w:pPr>
        <w:pStyle w:val="MiniLabel"/>
      </w:pPr>
      <w:r>
        <w:t>Decision Triggers</w:t>
      </w:r>
    </w:p>
    <w:p>
      <w:pPr>
        <w:pStyle w:val="ListBullet"/>
      </w:pPr>
      <w:r>
        <w:t>Incident tickets from SIEM or SOC.</w:t>
      </w:r>
    </w:p>
    <w:p>
      <w:pPr>
        <w:pStyle w:val="ListBullet"/>
      </w:pPr>
      <w:r>
        <w:t>Requests from security engineers or IT leadership.</w:t>
      </w:r>
    </w:p>
    <w:p>
      <w:pPr>
        <w:pStyle w:val="ListBullet"/>
      </w:pPr>
      <w:r>
        <w:t>User-reported phishing or security concerns.</w:t>
      </w:r>
    </w:p>
    <w:p>
      <w:pPr>
        <w:pStyle w:val="ListBullet"/>
      </w:pPr>
      <w:r>
        <w:t>Scheduled maintenance and security updates.</w:t>
      </w:r>
    </w:p>
    <w:p>
      <w:pPr>
        <w:pStyle w:val="Kicker"/>
      </w:pPr>
      <w:r>
        <w:t>// cybersecurity decision flow</w:t>
      </w:r>
    </w:p>
    <w:p>
      <w:pPr>
        <w:pStyle w:val="Heading1"/>
      </w:pPr>
      <w:r>
        <w:t>Cybersecurity Decision Flow &amp; Escalation Paths</w:t>
      </w:r>
    </w:p>
    <w:p>
      <w:pPr/>
      <w:r>
        <w:t>Ensuring decisions are made at the correct level requires well-defined escalation paths:</w:t>
      </w:r>
    </w:p>
    <w:p>
      <w:pPr>
        <w:pStyle w:val="Heading2"/>
      </w:pPr>
      <w:r>
        <w:t>Strategic → Operational</w:t>
      </w:r>
    </w:p>
    <w:p>
      <w:pPr>
        <w:pStyle w:val="ListBullet"/>
      </w:pPr>
      <w:r>
        <w:t>The Board or CISO sets security policies → Operational teams define implementation strategies.</w:t>
      </w:r>
    </w:p>
    <w:p>
      <w:pPr>
        <w:pStyle w:val="Heading2"/>
      </w:pPr>
      <w:r>
        <w:t>Operational → Tactical</w:t>
      </w:r>
    </w:p>
    <w:p>
      <w:pPr>
        <w:pStyle w:val="ListBullet"/>
      </w:pPr>
      <w:r>
        <w:t>Security leadership defines technical requirements → Engineers &amp; analysts configure tools and respond to threats.</w:t>
      </w:r>
    </w:p>
    <w:p>
      <w:pPr>
        <w:pStyle w:val="Heading2"/>
      </w:pPr>
      <w:r>
        <w:t>Tactical → Execution</w:t>
      </w:r>
    </w:p>
    <w:p>
      <w:pPr>
        <w:pStyle w:val="ListBullet"/>
      </w:pPr>
      <w:r>
        <w:t>Engineers deploy configurations → SOC analysts and IT staff enforce security rules and perform day-to-day monitoring.</w:t>
      </w:r>
    </w:p>
    <w:p>
      <w:pPr>
        <w:pStyle w:val="Heading2"/>
      </w:pPr>
      <w:r>
        <w:t>Execution → Tactical → Operational → Strategic</w:t>
      </w:r>
    </w:p>
    <w:p>
      <w:pPr>
        <w:pStyle w:val="ListBullet"/>
      </w:pPr>
      <w:r>
        <w:t>Escalation path for incidents and vulnerabilities:</w:t>
      </w:r>
    </w:p>
    <w:p>
      <w:pPr>
        <w:pStyle w:val="ListBullet"/>
      </w:pPr>
      <w:r>
        <w:t>SOC Analysts escalate threats → IR Teams analyze → Security Leadership reviews impact → Board makes business-impact decisions.</w:t>
      </w:r>
    </w:p>
    <w:p>
      <w:pPr>
        <w:pStyle w:val="Kicker"/>
      </w:pPr>
      <w:r>
        <w:t>// decision-making framework for</w:t>
      </w:r>
    </w:p>
    <w:p>
      <w:pPr>
        <w:pStyle w:val="Heading1"/>
      </w:pPr>
      <w:r>
        <w:t>Decision-Making Framework for Incident Response</w:t>
      </w:r>
    </w:p>
    <w:p>
      <w:pPr/>
      <w:r>
        <w:t>For security incidents, a rapid escalation and decision-making process is essential:</w:t>
      </w:r>
    </w:p>
    <w:p>
      <w:pPr>
        <w:pStyle w:val="Heading2"/>
      </w:pPr>
      <w:r>
        <w:t>Initial Detection &amp; Triage (SOC &amp; IR Team)</w:t>
      </w:r>
    </w:p>
    <w:p>
      <w:pPr>
        <w:pStyle w:val="ListBullet"/>
      </w:pPr>
      <w:r>
        <w:t>Determine if the incident is an actual threat or false positive.</w:t>
      </w:r>
    </w:p>
    <w:p>
      <w:pPr>
        <w:pStyle w:val="ListBullet"/>
      </w:pPr>
      <w:r>
        <w:t>Escalate critical incidents (e.g., ransomware, data breach) to senior IR managers.</w:t>
      </w:r>
    </w:p>
    <w:p>
      <w:pPr>
        <w:pStyle w:val="Heading2"/>
      </w:pPr>
      <w:r>
        <w:t>Investigation &amp; Containment (Incident Response Manager)</w:t>
      </w:r>
    </w:p>
    <w:p>
      <w:pPr>
        <w:pStyle w:val="ListBullet"/>
      </w:pPr>
      <w:r>
        <w:t>Conduct forensic analysis and containment measures.</w:t>
      </w:r>
    </w:p>
    <w:p>
      <w:pPr>
        <w:pStyle w:val="ListBullet"/>
      </w:pPr>
      <w:r>
        <w:t>Notify key stakeholders (Legal, HR, IT, CISO).</w:t>
      </w:r>
    </w:p>
    <w:p>
      <w:pPr>
        <w:pStyle w:val="Heading2"/>
      </w:pPr>
      <w:r>
        <w:t>Executive Briefing &amp; Response Authorization (CISO &amp; Exec Team)</w:t>
      </w:r>
    </w:p>
    <w:p>
      <w:pPr>
        <w:pStyle w:val="ListBullet"/>
      </w:pPr>
      <w:r>
        <w:t>Determine business impact and response options.</w:t>
      </w:r>
    </w:p>
    <w:p>
      <w:pPr>
        <w:pStyle w:val="ListBullet"/>
      </w:pPr>
      <w:r>
        <w:t>Decide whether to engage external partners (MSSP, law enforcement, PR).</w:t>
      </w:r>
    </w:p>
    <w:p>
      <w:pPr>
        <w:pStyle w:val="Heading2"/>
      </w:pPr>
      <w:r>
        <w:t>Board-Level Decision (CEO &amp; Board of Directors)</w:t>
      </w:r>
    </w:p>
    <w:p>
      <w:pPr>
        <w:pStyle w:val="ListBullet"/>
      </w:pPr>
      <w:r>
        <w:t>Approve major financial or operational actions (shutdown, public disclosure, legal action).</w:t>
      </w:r>
    </w:p>
    <w:p>
      <w:pPr>
        <w:pStyle w:val="ListBullet"/>
      </w:pPr>
      <w:r>
        <w:t>Oversee crisis communication strategy.</w:t>
      </w:r>
    </w:p>
    <w:p>
      <w:pPr>
        <w:pStyle w:val="Kicker"/>
      </w:pPr>
      <w:r>
        <w:t>// balancing security &amp; business</w:t>
      </w:r>
    </w:p>
    <w:p>
      <w:pPr>
        <w:pStyle w:val="Heading1"/>
      </w:pPr>
      <w:r>
        <w:t>Balancing Security &amp; Business Objectives in Decision-Making</w:t>
      </w:r>
    </w:p>
    <w:p>
      <w:pPr/>
      <w:r>
        <w:t>To ensure cybersecurity decisions support business goals, the following principles apply:</w:t>
      </w:r>
    </w:p>
    <w:p>
      <w:pPr>
        <w:pStyle w:val="ListBullet"/>
      </w:pPr>
      <w:r>
        <w:t>Risk-Based Prioritization: Focus resources on high-impact risks.</w:t>
      </w:r>
    </w:p>
    <w:p>
      <w:pPr>
        <w:pStyle w:val="ListBullet"/>
      </w:pPr>
      <w:r>
        <w:t>Business Continuity Integration: Security decisions must not disrupt critical business operations.</w:t>
      </w:r>
    </w:p>
    <w:p>
      <w:pPr>
        <w:pStyle w:val="ListBullet"/>
      </w:pPr>
      <w:r>
        <w:t>Regulatory &amp; Legal Compliance: Ensure adherence to industry and regional requirements.</w:t>
      </w:r>
    </w:p>
    <w:p>
      <w:pPr>
        <w:pStyle w:val="ListBullet"/>
      </w:pPr>
      <w:r>
        <w:t>Cost vs. Benefit Analysis: Align security investments with tangible risk reduction.</w:t>
      </w:r>
    </w:p>
    <w:p>
      <w:pPr>
        <w:pStyle w:val="ListBullet"/>
      </w:pPr>
      <w:r>
        <w:t>Security as an Enabler: Shift perception from security as a roadblock to a business enabler.</w:t>
      </w:r>
    </w:p>
    <w:p>
      <w:pPr>
        <w:pStyle w:val="Heading2"/>
      </w:pPr>
      <w:r>
        <w:t>Key Takeaways</w:t>
      </w:r>
    </w:p>
    <w:p>
      <w:pPr/>
      <w:r>
        <w:t>Tiered governance ensures the right people make the right decisions.</w:t>
      </w:r>
    </w:p>
    <w:p>
      <w:pPr/>
      <w:r>
        <w:t>Decision triggers help determine when security teams escalate issues.</w:t>
      </w:r>
    </w:p>
    <w:p>
      <w:pPr/>
      <w:r>
        <w:t>Cybersecurity and business goals must align for effective governance.</w:t>
      </w:r>
    </w:p>
    <w:p>
      <w:pPr/>
      <w:r>
        <w:t>Incident response decision-making must be structured, rapid, and business-aligned.</w:t>
      </w:r>
    </w:p>
    <w:p>
      <w:pPr/>
      <w:r>
        <w:t>This decision-making structure provides clear governance, accountability, and operational efficiency in private-sector cybersecurity.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320" w:right="1440" w:bottom="12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ra">
    <w:charset w:val="00"/>
    <w:family w:val="swiss"/>
    <w:pitch w:val="variable"/>
    <w:embedRegular r:id="rId1" w:fontKey="{B39C7409-F347-47A9-8527-C0D0E1A77925}"/>
    <w:embedBold r:id="rId2" w:fontKey="{0DBA5A99-AAF0-4F09-8221-0755449A4FB5}"/>
  </w:font>
  <w:font w:name="IBM Plex Sans">
    <w:charset w:val="00"/>
    <w:family w:val="swiss"/>
    <w:pitch w:val="variable"/>
    <w:embedRegular r:id="rId3" w:fontKey="{C0AFB6C4-0096-4FA0-AAD9-FA4EF01E70D9}"/>
    <w:embedBold r:id="rId4" w:fontKey="{707D961D-8932-481D-8F38-42D0EA578034}"/>
  </w:font>
  <w:font w:name="IBM Plex Mono">
    <w:charset w:val="00"/>
    <w:family w:val="modern"/>
    <w:pitch w:val="fixed"/>
    <w:embedRegular r:id="rId5" w:fontKey="{8FAEA3C6-B815-4DEE-9BF7-595C11E29293}"/>
    <w:embedBold r:id="rId6" w:fontKey="{CAF8B839-F2E9-4995-B3A6-8D281F57E650}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unHead"/>
      <w:tabs>
        <w:tab w:pos="9360" w:val="right"/>
      </w:tabs>
    </w:pPr>
    <w:r>
      <w:rPr>
        <w:rFonts w:ascii="IBM Plex Mono" w:hAnsi="IBM Plex Mono" w:cs="IBM Plex Mono"/>
        <w:caps/>
        <w:color w:val="6B7680"/>
        <w:sz w:val="16"/>
      </w:rPr>
      <w:t>TIM D. TIPTON JR.  ·  THE CYBER ALCHEMIST</w:t>
    </w:r>
    <w:r>
      <w:rPr>
        <w:rFonts w:ascii="IBM Plex Mono" w:hAnsi="IBM Plex Mono" w:cs="IBM Plex Mono"/>
      </w:rPr>
      <w:tab/>
    </w:r>
    <w:r>
      <w:rPr>
        <w:rFonts w:ascii="IBM Plex Mono" w:hAnsi="IBM Plex Mono" w:cs="IBM Plex Mono"/>
        <w:caps/>
        <w:color w:val="6B7680"/>
        <w:sz w:val="16"/>
      </w:rPr>
      <w:t>SCOPE FRAMEWORK  ·  DECISION RIGHTS &amp; ESCALATION MODEL v1.0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unHead"/>
      <w:pBdr>
        <w:bottom w:val="single" w:sz="4" w:space="3" w:color="E3E3DC"/>
      </w:pBdr>
      <w:tabs>
        <w:tab w:pos="9360" w:val="right"/>
      </w:tabs>
    </w:pPr>
    <w:r>
      <w:drawing>
        <wp:anchor distT="0" distB="0" distL="0" distR="0" simplePos="0" relativeHeight="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2" name="BenchPaper" descr="Warm off-white interior background"/>
          <wp:cNvGraphicFramePr>
            <a:graphicFrameLocks xmlns:a="http://schemas.openxmlformats.org/drawingml/2006/main" noChangeAspect="0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BenchPaper" descr="Warm off-white interior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  <w:r>
      <w:rPr>
        <w:rFonts w:ascii="IBM Plex Mono" w:hAnsi="IBM Plex Mono" w:cs="IBM Plex Mono"/>
        <w:caps/>
        <w:color w:val="6B7680"/>
        <w:sz w:val="16"/>
      </w:rPr>
      <w:t>The Cyber Alchemist  ·  SCOPE Framework</w:t>
    </w:r>
    <w:r>
      <w:rPr>
        <w:rFonts w:ascii="IBM Plex Mono" w:hAnsi="IBM Plex Mono" w:cs="IBM Plex Mono"/>
      </w:rPr>
      <w:tab/>
    </w:r>
    <w:r>
      <w:rPr>
        <w:rFonts w:ascii="IBM Plex Mono" w:hAnsi="IBM Plex Mono" w:cs="IBM Plex Mono"/>
        <w:caps/>
        <w:color w:val="6B7680"/>
        <w:sz w:val="16"/>
      </w:rPr>
      <w:t>Decision Rights &amp; Escalation Model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embedTrueTypeFonts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48" w:lineRule="auto" w:after="160"/>
    </w:pPr>
    <w:rPr>
      <w:rFonts w:ascii="IBM Plex Sans" w:hAnsi="IBM Plex Sans" w:cs="IBM Plex Sans"/>
      <w:color w:val="0B0E1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00" w:line="252" w:lineRule="auto"/>
      <w:outlineLvl w:val="0"/>
    </w:pPr>
    <w:rPr>
      <w:rFonts w:asciiTheme="majorHAnsi" w:eastAsiaTheme="majorEastAsia" w:hAnsiTheme="majorHAnsi" w:cstheme="majorBidi" w:ascii="Sora" w:hAnsi="Sora" w:cs="Sora"/>
      <w:b w:val="0"/>
      <w:bCs/>
      <w:color w:val="0B0E1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60" w:line="252" w:lineRule="auto"/>
      <w:outlineLvl w:val="1"/>
    </w:pPr>
    <w:rPr>
      <w:rFonts w:asciiTheme="majorHAnsi" w:eastAsiaTheme="majorEastAsia" w:hAnsiTheme="majorHAnsi" w:cstheme="majorBidi" w:ascii="Sora" w:hAnsi="Sora" w:cs="Sora"/>
      <w:b w:val="0"/>
      <w:bCs/>
      <w:color w:val="0B0E1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IBM Plex Sans" w:hAnsi="IBM Plex Sans" w:cs="IBM Plex Sans"/>
      <w:color w:val="3A444C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Kicker">
    <w:name w:val="CoverKicker"/>
    <w:basedOn w:val="Normal"/>
    <w:pPr>
      <w:spacing w:before="0" w:after="120" w:line="312" w:lineRule="auto"/>
    </w:pPr>
    <w:rPr>
      <w:rFonts w:ascii="IBM Plex Mono" w:hAnsi="IBM Plex Mono" w:cs="IBM Plex Mono"/>
      <w:b w:val="0"/>
      <w:caps/>
      <w:color w:val="21E0A0"/>
      <w:spacing w:val="40"/>
      <w:sz w:val="18"/>
    </w:rPr>
  </w:style>
  <w:style w:type="paragraph" w:customStyle="1" w:styleId="CoverTitle">
    <w:name w:val="CoverTitle"/>
    <w:basedOn w:val="Normal"/>
    <w:pPr>
      <w:spacing w:before="0" w:after="200" w:line="245" w:lineRule="auto"/>
    </w:pPr>
    <w:rPr>
      <w:rFonts w:ascii="Sora" w:hAnsi="Sora" w:cs="Sora"/>
      <w:b/>
      <w:color w:val="EAF0F2"/>
      <w:sz w:val="74"/>
    </w:rPr>
  </w:style>
  <w:style w:type="paragraph" w:customStyle="1" w:styleId="CoverDeck">
    <w:name w:val="CoverDeck"/>
    <w:basedOn w:val="Normal"/>
    <w:pPr>
      <w:spacing w:before="0" w:after="160" w:line="360" w:lineRule="auto"/>
    </w:pPr>
    <w:rPr>
      <w:rFonts w:ascii="IBM Plex Sans" w:hAnsi="IBM Plex Sans" w:cs="IBM Plex Sans"/>
      <w:b w:val="0"/>
      <w:color w:val="8FA0AB"/>
      <w:sz w:val="24"/>
    </w:rPr>
  </w:style>
  <w:style w:type="paragraph" w:customStyle="1" w:styleId="CoverAttrib">
    <w:name w:val="CoverAttrib"/>
    <w:basedOn w:val="Normal"/>
    <w:pPr>
      <w:spacing w:before="200" w:after="120" w:line="312" w:lineRule="auto"/>
    </w:pPr>
    <w:rPr>
      <w:rFonts w:ascii="IBM Plex Mono" w:hAnsi="IBM Plex Mono" w:cs="IBM Plex Mono"/>
      <w:b w:val="0"/>
      <w:color w:val="5A6B75"/>
      <w:spacing w:val="20"/>
      <w:sz w:val="19"/>
    </w:rPr>
  </w:style>
  <w:style w:type="paragraph" w:customStyle="1" w:styleId="WordMark">
    <w:name w:val="WordMark"/>
    <w:basedOn w:val="Normal"/>
    <w:pPr>
      <w:spacing w:before="0" w:after="0" w:line="264" w:lineRule="auto"/>
    </w:pPr>
    <w:rPr>
      <w:rFonts w:ascii="IBM Plex Mono" w:hAnsi="IBM Plex Mono" w:cs="IBM Plex Mono"/>
      <w:b w:val="0"/>
      <w:caps/>
      <w:color w:val="EAF0F2"/>
      <w:spacing w:val="26"/>
      <w:sz w:val="22"/>
    </w:rPr>
  </w:style>
  <w:style w:type="paragraph" w:customStyle="1" w:styleId="TileIdx">
    <w:name w:val="TileIdx"/>
    <w:basedOn w:val="Normal"/>
    <w:pPr>
      <w:spacing w:before="0" w:after="0" w:line="240" w:lineRule="auto"/>
    </w:pPr>
    <w:rPr>
      <w:rFonts w:ascii="IBM Plex Mono" w:hAnsi="IBM Plex Mono" w:cs="IBM Plex Mono"/>
      <w:b w:val="0"/>
      <w:color w:val="5A6B75"/>
      <w:spacing w:val="16"/>
      <w:sz w:val="15"/>
    </w:rPr>
  </w:style>
  <w:style w:type="paragraph" w:customStyle="1" w:styleId="TileSym">
    <w:name w:val="TileSym"/>
    <w:basedOn w:val="Normal"/>
    <w:pPr>
      <w:spacing w:before="0" w:after="0" w:line="240" w:lineRule="auto"/>
    </w:pPr>
    <w:rPr>
      <w:rFonts w:ascii="Sora" w:hAnsi="Sora" w:cs="Sora"/>
      <w:b/>
      <w:color w:val="EAF0F2"/>
      <w:sz w:val="42"/>
    </w:rPr>
  </w:style>
  <w:style w:type="paragraph" w:customStyle="1" w:styleId="TileName">
    <w:name w:val="TileName"/>
    <w:basedOn w:val="Normal"/>
    <w:pPr>
      <w:spacing w:before="80" w:after="0" w:line="240" w:lineRule="auto"/>
    </w:pPr>
    <w:rPr>
      <w:rFonts w:ascii="IBM Plex Mono" w:hAnsi="IBM Plex Mono" w:cs="IBM Plex Mono"/>
      <w:b w:val="0"/>
      <w:caps/>
      <w:color w:val="8FA0AB"/>
      <w:spacing w:val="26"/>
      <w:sz w:val="15"/>
    </w:rPr>
  </w:style>
  <w:style w:type="paragraph" w:customStyle="1" w:styleId="TileIdxG">
    <w:name w:val="TileIdxG"/>
    <w:basedOn w:val="Normal"/>
    <w:pPr>
      <w:spacing w:before="0" w:after="0" w:line="240" w:lineRule="auto"/>
    </w:pPr>
    <w:rPr>
      <w:rFonts w:ascii="IBM Plex Mono" w:hAnsi="IBM Plex Mono" w:cs="IBM Plex Mono"/>
      <w:b w:val="0"/>
      <w:color w:val="E9BD55"/>
      <w:spacing w:val="16"/>
      <w:sz w:val="15"/>
    </w:rPr>
  </w:style>
  <w:style w:type="paragraph" w:customStyle="1" w:styleId="TileSymG">
    <w:name w:val="TileSymG"/>
    <w:basedOn w:val="Normal"/>
    <w:pPr>
      <w:spacing w:before="0" w:after="0" w:line="240" w:lineRule="auto"/>
    </w:pPr>
    <w:rPr>
      <w:rFonts w:ascii="Sora" w:hAnsi="Sora" w:cs="Sora"/>
      <w:b/>
      <w:color w:val="FBE08F"/>
      <w:sz w:val="42"/>
    </w:rPr>
  </w:style>
  <w:style w:type="paragraph" w:customStyle="1" w:styleId="TileNameG">
    <w:name w:val="TileNameG"/>
    <w:basedOn w:val="Normal"/>
    <w:pPr>
      <w:spacing w:before="80" w:after="0" w:line="240" w:lineRule="auto"/>
    </w:pPr>
    <w:rPr>
      <w:rFonts w:ascii="IBM Plex Mono" w:hAnsi="IBM Plex Mono" w:cs="IBM Plex Mono"/>
      <w:b w:val="0"/>
      <w:caps/>
      <w:color w:val="E9BD55"/>
      <w:spacing w:val="26"/>
      <w:sz w:val="15"/>
    </w:rPr>
  </w:style>
  <w:style w:type="paragraph" w:customStyle="1" w:styleId="SchemeCap">
    <w:name w:val="SchemeCap"/>
    <w:basedOn w:val="Normal"/>
    <w:pPr>
      <w:spacing w:before="160" w:after="80" w:line="336" w:lineRule="auto"/>
    </w:pPr>
    <w:rPr>
      <w:rFonts w:ascii="IBM Plex Mono" w:hAnsi="IBM Plex Mono" w:cs="IBM Plex Mono"/>
      <w:b w:val="0"/>
      <w:caps/>
      <w:color w:val="5A6B75"/>
      <w:spacing w:val="24"/>
      <w:sz w:val="16"/>
    </w:rPr>
  </w:style>
  <w:style w:type="paragraph" w:customStyle="1" w:styleId="SigilTxt">
    <w:name w:val="SigilTxt"/>
    <w:basedOn w:val="Normal"/>
    <w:pPr>
      <w:spacing w:before="0" w:after="0" w:line="240" w:lineRule="auto"/>
      <w:jc w:val="center"/>
    </w:pPr>
    <w:rPr>
      <w:rFonts w:ascii="IBM Plex Mono" w:hAnsi="IBM Plex Mono" w:cs="IBM Plex Mono"/>
      <w:b/>
      <w:color w:val="FBE08F"/>
      <w:sz w:val="26"/>
    </w:rPr>
  </w:style>
  <w:style w:type="paragraph" w:customStyle="1" w:styleId="Kicker">
    <w:name w:val="Kicker"/>
    <w:basedOn w:val="Normal"/>
    <w:pPr>
      <w:spacing w:before="280" w:after="60" w:line="312" w:lineRule="auto"/>
    </w:pPr>
    <w:rPr>
      <w:rFonts w:ascii="IBM Plex Mono" w:hAnsi="IBM Plex Mono" w:cs="IBM Plex Mono"/>
      <w:b w:val="0"/>
      <w:caps/>
      <w:color w:val="0E8E66"/>
      <w:spacing w:val="34"/>
      <w:sz w:val="17"/>
    </w:rPr>
  </w:style>
  <w:style w:type="paragraph" w:customStyle="1" w:styleId="Deck">
    <w:name w:val="Deck"/>
    <w:basedOn w:val="Normal"/>
    <w:pPr>
      <w:spacing w:before="0" w:after="120" w:line="360" w:lineRule="auto"/>
    </w:pPr>
    <w:rPr>
      <w:rFonts w:ascii="IBM Plex Sans" w:hAnsi="IBM Plex Sans" w:cs="IBM Plex Sans"/>
      <w:b w:val="0"/>
      <w:color w:val="3A444C"/>
      <w:sz w:val="25"/>
    </w:rPr>
  </w:style>
  <w:style w:type="paragraph" w:customStyle="1" w:styleId="FieldLabel">
    <w:name w:val="FieldLabel"/>
    <w:basedOn w:val="Normal"/>
    <w:pPr>
      <w:spacing w:before="80" w:after="40" w:line="312" w:lineRule="auto"/>
    </w:pPr>
    <w:rPr>
      <w:rFonts w:ascii="IBM Plex Mono" w:hAnsi="IBM Plex Mono" w:cs="IBM Plex Mono"/>
      <w:b w:val="0"/>
      <w:caps/>
      <w:color w:val="6B7680"/>
      <w:spacing w:val="24"/>
      <w:sz w:val="16"/>
    </w:rPr>
  </w:style>
  <w:style w:type="paragraph" w:customStyle="1" w:styleId="Attrib2">
    <w:name w:val="Attrib2"/>
    <w:basedOn w:val="Normal"/>
    <w:pPr>
      <w:spacing w:before="0" w:after="80" w:line="312" w:lineRule="auto"/>
    </w:pPr>
    <w:rPr>
      <w:rFonts w:ascii="IBM Plex Mono" w:hAnsi="IBM Plex Mono" w:cs="IBM Plex Mono"/>
      <w:b w:val="0"/>
      <w:color w:val="6B7680"/>
      <w:spacing w:val="16"/>
      <w:sz w:val="16"/>
    </w:rPr>
  </w:style>
  <w:style w:type="paragraph" w:customStyle="1" w:styleId="Badge">
    <w:name w:val="Badge"/>
    <w:basedOn w:val="Normal"/>
    <w:pPr>
      <w:spacing w:before="40" w:after="80" w:line="312" w:lineRule="auto"/>
    </w:pPr>
    <w:rPr>
      <w:rFonts w:ascii="IBM Plex Mono" w:hAnsi="IBM Plex Mono" w:cs="IBM Plex Mono"/>
      <w:b w:val="0"/>
      <w:caps/>
      <w:color w:val="3A444C"/>
      <w:spacing w:val="22"/>
      <w:sz w:val="17"/>
    </w:rPr>
  </w:style>
  <w:style w:type="paragraph" w:customStyle="1" w:styleId="HeadCellTxt">
    <w:name w:val="HeadCellTxt"/>
    <w:basedOn w:val="Normal"/>
    <w:pPr>
      <w:spacing w:before="0" w:after="0" w:line="312" w:lineRule="auto"/>
    </w:pPr>
    <w:rPr>
      <w:rFonts w:ascii="IBM Plex Mono" w:hAnsi="IBM Plex Mono" w:cs="IBM Plex Mono"/>
      <w:b w:val="0"/>
      <w:caps/>
      <w:color w:val="6B7680"/>
      <w:spacing w:val="22"/>
      <w:sz w:val="16"/>
    </w:rPr>
  </w:style>
  <w:style w:type="paragraph" w:customStyle="1" w:styleId="CellTxt">
    <w:name w:val="CellTxt"/>
    <w:basedOn w:val="Normal"/>
    <w:pPr>
      <w:spacing w:before="0" w:after="0" w:line="312" w:lineRule="auto"/>
    </w:pPr>
    <w:rPr>
      <w:rFonts w:ascii="IBM Plex Sans" w:hAnsi="IBM Plex Sans" w:cs="IBM Plex Sans"/>
      <w:b w:val="0"/>
      <w:color w:val="0B0E11"/>
      <w:sz w:val="20"/>
    </w:rPr>
  </w:style>
  <w:style w:type="paragraph" w:customStyle="1" w:styleId="Placeholder">
    <w:name w:val="Placeholder"/>
    <w:basedOn w:val="Normal"/>
    <w:pPr>
      <w:spacing w:before="0" w:after="0" w:line="312" w:lineRule="auto"/>
    </w:pPr>
    <w:rPr>
      <w:rFonts w:ascii="IBM Plex Sans" w:hAnsi="IBM Plex Sans" w:cs="IBM Plex Sans"/>
      <w:b w:val="0"/>
      <w:color w:val="6B7680"/>
      <w:sz w:val="20"/>
    </w:rPr>
  </w:style>
  <w:style w:type="paragraph" w:customStyle="1" w:styleId="RunHead">
    <w:name w:val="RunHead"/>
    <w:basedOn w:val="Normal"/>
    <w:pPr>
      <w:spacing w:before="0" w:after="0" w:line="312" w:lineRule="auto"/>
    </w:pPr>
    <w:rPr>
      <w:rFonts w:ascii="IBM Plex Mono" w:hAnsi="IBM Plex Mono" w:cs="IBM Plex Mono"/>
      <w:b w:val="0"/>
      <w:caps/>
      <w:color w:val="6B7680"/>
      <w:spacing w:val="16"/>
      <w:sz w:val="16"/>
    </w:rPr>
  </w:style>
  <w:style w:type="paragraph" w:customStyle="1" w:styleId="TierName">
    <w:name w:val="TierName"/>
    <w:basedOn w:val="Normal"/>
    <w:pPr>
      <w:spacing w:before="80" w:after="40" w:line="252" w:lineRule="auto"/>
    </w:pPr>
    <w:rPr>
      <w:rFonts w:ascii="Sora" w:hAnsi="Sora" w:cs="Sora"/>
      <w:b w:val="0"/>
      <w:color w:val="0B0E11"/>
      <w:sz w:val="30"/>
    </w:rPr>
  </w:style>
  <w:style w:type="paragraph" w:customStyle="1" w:styleId="MiniLabel">
    <w:name w:val="MiniLabel"/>
    <w:basedOn w:val="Normal"/>
    <w:pPr>
      <w:spacing w:before="120" w:after="40" w:line="312" w:lineRule="auto"/>
    </w:pPr>
    <w:rPr>
      <w:rFonts w:ascii="IBM Plex Mono" w:hAnsi="IBM Plex Mono" w:cs="IBM Plex Mono"/>
      <w:b w:val="0"/>
      <w:caps/>
      <w:color w:val="0E8E66"/>
      <w:spacing w:val="22"/>
      <w:sz w:val="16"/>
    </w:rPr>
  </w:style>
  <w:style w:type="paragraph" w:customStyle="1" w:styleId="BoxText">
    <w:name w:val="BoxText"/>
    <w:basedOn w:val="Normal"/>
    <w:pPr>
      <w:spacing w:before="0" w:after="0" w:line="336" w:lineRule="auto"/>
    </w:pPr>
    <w:rPr>
      <w:rFonts w:ascii="IBM Plex Sans" w:hAnsi="IBM Plex Sans" w:cs="IBM Plex Sans"/>
      <w:b w:val="0"/>
      <w:color w:val="0B0E11"/>
      <w:sz w:val="20"/>
    </w:rPr>
  </w:style>
  <w:style w:type="paragraph" w:customStyle="1" w:styleId="BoxPlaceholder">
    <w:name w:val="BoxPlaceholder"/>
    <w:basedOn w:val="Normal"/>
    <w:pPr>
      <w:spacing w:before="0" w:after="0" w:line="336" w:lineRule="auto"/>
    </w:pPr>
    <w:rPr>
      <w:rFonts w:ascii="IBM Plex Sans" w:hAnsi="IBM Plex Sans" w:cs="IBM Plex Sans"/>
      <w:b w:val="0"/>
      <w:color w:val="6B7680"/>
      <w:sz w:val="20"/>
    </w:rPr>
  </w:style>
  <w:style w:type="paragraph" w:customStyle="1" w:styleId="CalloutText">
    <w:name w:val="CalloutText"/>
    <w:basedOn w:val="Normal"/>
    <w:pPr>
      <w:spacing w:before="0" w:after="0" w:line="348" w:lineRule="auto"/>
    </w:pPr>
    <w:rPr>
      <w:rFonts w:ascii="IBM Plex Sans" w:hAnsi="IBM Plex Sans" w:cs="IBM Plex Sans"/>
      <w:b w:val="0"/>
      <w:color w:val="0B0E11"/>
      <w:sz w:val="21"/>
    </w:rPr>
  </w:style>
  <w:style w:type="paragraph" w:customStyle="1" w:styleId="ExtFlag">
    <w:name w:val="ExtFlag"/>
    <w:basedOn w:val="Normal"/>
    <w:pPr>
      <w:spacing w:before="40" w:after="40" w:line="312" w:lineRule="auto"/>
    </w:pPr>
    <w:rPr>
      <w:rFonts w:ascii="IBM Plex Mono" w:hAnsi="IBM Plex Mono" w:cs="IBM Plex Mono"/>
      <w:b w:val="0"/>
      <w:caps/>
      <w:color w:val="0E8E66"/>
      <w:spacing w:val="26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cover_dark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Sora-regular.odttf"/><Relationship Id="rId2" Type="http://schemas.openxmlformats.org/officeDocument/2006/relationships/font" Target="fonts/Sora-bold.odttf"/><Relationship Id="rId3" Type="http://schemas.openxmlformats.org/officeDocument/2006/relationships/font" Target="fonts/IBMPlexSans-regular.odttf"/><Relationship Id="rId4" Type="http://schemas.openxmlformats.org/officeDocument/2006/relationships/font" Target="fonts/IBMPlexSans-bold.odttf"/><Relationship Id="rId5" Type="http://schemas.openxmlformats.org/officeDocument/2006/relationships/font" Target="fonts/IBMPlexMono-regular.odttf"/><Relationship Id="rId6" Type="http://schemas.openxmlformats.org/officeDocument/2006/relationships/font" Target="fonts/IBMPlexMono-bold.od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bench_paper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Framework - Decision Rights and Escalation Model</dc:title>
  <dc:subject>SCOPE, Strategic Cybersecurity Operations and Protection for Enterprises</dc:subject>
  <dc:creator>Tim D. Tipton Jr.</dc:creator>
  <cp:keywords>SCOPE, cybersecurity, controls, maturity model, crosswalk</cp:keywords>
  <dc:description/>
  <cp:lastModifiedBy>Tim D. Tipton Jr.</cp:lastModifiedBy>
  <cp:revision>1</cp:revision>
  <dcterms:created xsi:type="dcterms:W3CDTF">2026-07-22T00:00:00Z</dcterms:created>
  <dcterms:modified xsi:type="dcterms:W3CDTF">2026-07-22T00:00:00Z</dcterms:modified>
  <cp:category>Cybersecurity Framework</cp:category>
  <dc:language>en-US</dc:language>
</cp:coreProperties>
</file>