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a control domain</w:t>
      </w:r>
    </w:p>
    <w:p>
      <w:pPr>
        <w:pStyle w:val="CoverTitle"/>
      </w:pPr>
      <w:r>
        <w:t>Governance &amp; Risk Management</w:t>
      </w:r>
    </w:p>
    <w:p>
      <w:pPr>
        <w:pStyle w:val="CoverDeck"/>
      </w:pPr>
      <w:r>
        <w:t>The leadership, accountability, and risk decisions that direct the whole security program.</w:t>
      </w:r>
    </w:p>
    <w:p>
      <w:pPr>
        <w:pStyle w:val="CoverAttrib"/>
      </w:pPr>
      <w:r>
        <w:t>Tim D. Tipton Jr.  ·  The Cyber Alchemist</w:t>
      </w:r>
    </w:p>
    <w:tbl>
      <w:tblPr>
        <w:tblW w:w="10080" w:type="dxa"/>
        <w:tblBorders>
          <w:top w:val="none"/>
          <w:left w:val="none"/>
          <w:bottom w:val="none"/>
          <w:right w:val="none"/>
          <w:insideH w:val="none"/>
          <w:insideV w:val="none"/>
        </w:tblBorders>
        <w:tblLook w:firstColumn="1" w:firstRow="1" w:lastColumn="0" w:lastRow="0" w:noHBand="0" w:noVBand="1" w:val="04A0"/>
        <w:tblCaption w:val="Classification scheme"/>
        <w:tblDescription w:val="The three classification tiers, lowest to highest sensitivity: Public, Internal, Confidential."/>
      </w:tblPr>
      <w:tblGrid>
        <w:gridCol w:w="3360"/>
        <w:gridCol w:w="3360"/>
        <w:gridCol w:w="3360"/>
      </w:tblGrid>
      <w:tr>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01</w:t>
            </w:r>
          </w:p>
          <w:p>
            <w:pPr>
              <w:pStyle w:val="TileSym"/>
            </w:pPr>
            <w:r>
              <w:rPr>
                <w:rFonts w:ascii="Sora" w:hAnsi="Sora" w:cs="Sora"/>
                <w:b/>
                <w:color w:val="EAF0F2"/>
                <w:sz w:val="42"/>
              </w:rPr>
              <w:t>Do</w:t>
            </w:r>
          </w:p>
          <w:p>
            <w:pPr>
              <w:pStyle w:val="TileName"/>
            </w:pPr>
            <w:r>
              <w:rPr>
                <w:rFonts w:ascii="IBM Plex Mono" w:hAnsi="IBM Plex Mono" w:cs="IBM Plex Mono"/>
                <w:caps/>
                <w:color w:val="8FA0AB"/>
                <w:sz w:val="15"/>
              </w:rPr>
              <w:t>Domain</w:t>
            </w:r>
          </w:p>
        </w:tc>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02</w:t>
            </w:r>
          </w:p>
          <w:p>
            <w:pPr>
              <w:pStyle w:val="TileSym"/>
            </w:pPr>
            <w:r>
              <w:rPr>
                <w:rFonts w:ascii="Sora" w:hAnsi="Sora" w:cs="Sora"/>
                <w:b/>
                <w:color w:val="EAF0F2"/>
                <w:sz w:val="42"/>
              </w:rPr>
              <w:t>Fa</w:t>
            </w:r>
          </w:p>
          <w:p>
            <w:pPr>
              <w:pStyle w:val="TileName"/>
            </w:pPr>
            <w:r>
              <w:rPr>
                <w:rFonts w:ascii="IBM Plex Mono" w:hAnsi="IBM Plex Mono" w:cs="IBM Plex Mono"/>
                <w:caps/>
                <w:color w:val="8FA0AB"/>
                <w:sz w:val="15"/>
              </w:rPr>
              <w:t>Family</w:t>
            </w:r>
          </w:p>
        </w:tc>
        <w:tc>
          <w:tcPr>
            <w:tcW w:type="dxa" w:w="3360"/>
            <w:tcBorders>
              <w:top w:val="single" w:sz="14" w:space="0" w:color="E9BD55"/>
              <w:left w:val="single" w:sz="14" w:space="0" w:color="E9BD55"/>
              <w:bottom w:val="single" w:sz="14" w:space="0" w:color="E9BD55"/>
              <w:right w:val="single" w:sz="14" w:space="0" w:color="E9BD55"/>
            </w:tcBorders>
            <w:shd w:val="clear" w:color="auto" w:fill="141C22"/>
            <w:tcMar>
              <w:top w:w="14" w:type="dxa"/>
              <w:left w:w="16" w:type="dxa"/>
              <w:bottom w:w="16" w:type="dxa"/>
              <w:right w:w="16" w:type="dxa"/>
            </w:tcMar>
          </w:tcPr>
          <w:p>
            <w:pPr>
              <w:pStyle w:val="TileIdxG"/>
            </w:pPr>
            <w:r>
              <w:rPr>
                <w:rFonts w:ascii="IBM Plex Mono" w:hAnsi="IBM Plex Mono" w:cs="IBM Plex Mono"/>
                <w:color w:val="E9BD55"/>
                <w:sz w:val="15"/>
              </w:rPr>
              <w:t>03</w:t>
            </w:r>
          </w:p>
          <w:p>
            <w:pPr>
              <w:pStyle w:val="TileSymG"/>
            </w:pPr>
            <w:r>
              <w:rPr>
                <w:rFonts w:ascii="Sora" w:hAnsi="Sora" w:cs="Sora"/>
                <w:b/>
                <w:color w:val="FBE08F"/>
                <w:sz w:val="42"/>
              </w:rPr>
              <w:t>Co</w:t>
            </w:r>
          </w:p>
          <w:p>
            <w:pPr>
              <w:pStyle w:val="TileNameG"/>
            </w:pPr>
            <w:r>
              <w:rPr>
                <w:rFonts w:ascii="IBM Plex Mono" w:hAnsi="IBM Plex Mono" w:cs="IBM Plex Mono"/>
                <w:caps/>
                <w:color w:val="E9BD55"/>
                <w:sz w:val="15"/>
              </w:rPr>
              <w:t>Control</w:t>
            </w:r>
          </w:p>
        </w:tc>
      </w:tr>
    </w:tbl>
    <w:p>
      <w:pPr>
        <w:pStyle w:val="SchemeCap"/>
      </w:pPr>
      <w:r>
        <w:t>Three layers, domain to control</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Governance &amp; Risk Management Control Domain</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r>
        <w:tc>
          <w:tcPr>
            <w:tcW w:type="dxa" w:w="4680"/>
          </w:tcPr>
          <w:p>
            <w:pPr>
              <w:pStyle w:val="CellTxt"/>
            </w:pPr>
            <w:r>
              <w:t>Adopting organization</w:t>
            </w:r>
          </w:p>
        </w:tc>
        <w:tc>
          <w:tcPr>
            <w:tcW w:type="dxa" w:w="4680"/>
          </w:tcPr>
          <w:p>
            <w:pPr>
              <w:pStyle w:val="Placeholder"/>
            </w:pPr>
            <w:r>
              <w:t>Enter organization name</w:t>
            </w:r>
          </w:p>
        </w:tc>
      </w:tr>
      <w:tr>
        <w:tc>
          <w:tcPr>
            <w:tcW w:type="dxa" w:w="4680"/>
          </w:tcPr>
          <w:p>
            <w:pPr>
              <w:pStyle w:val="CellTxt"/>
            </w:pPr>
            <w:r>
              <w:t>Framework owner, role and name</w:t>
            </w:r>
          </w:p>
        </w:tc>
        <w:tc>
          <w:tcPr>
            <w:tcW w:type="dxa" w:w="4680"/>
          </w:tcPr>
          <w:p>
            <w:pPr>
              <w:pStyle w:val="Placeholder"/>
            </w:pPr>
            <w:r>
              <w:t>Enter role and name</w:t>
            </w:r>
          </w:p>
        </w:tc>
      </w:tr>
      <w:tr>
        <w:tc>
          <w:tcPr>
            <w:tcW w:type="dxa" w:w="4680"/>
          </w:tcPr>
          <w:p>
            <w:pPr>
              <w:pStyle w:val="CellTxt"/>
            </w:pPr>
            <w:r>
              <w:t>Effective date</w:t>
            </w:r>
          </w:p>
        </w:tc>
        <w:tc>
          <w:tcPr>
            <w:tcW w:type="dxa" w:w="4680"/>
          </w:tcPr>
          <w:p>
            <w:pPr>
              <w:pStyle w:val="Placeholder"/>
            </w:pPr>
            <w:r>
              <w:t>Enter effective date</w:t>
            </w:r>
          </w:p>
        </w:tc>
      </w:tr>
      <w:tr>
        <w:tc>
          <w:tcPr>
            <w:tcW w:type="dxa" w:w="4680"/>
          </w:tcPr>
          <w:p>
            <w:pPr>
              <w:pStyle w:val="CellTxt"/>
            </w:pPr>
            <w:r>
              <w:t>Review cycle</w:t>
            </w:r>
          </w:p>
        </w:tc>
        <w:tc>
          <w:tcPr>
            <w:tcW w:type="dxa" w:w="4680"/>
          </w:tcPr>
          <w:p>
            <w:pPr>
              <w:pStyle w:val="Placeholder"/>
            </w:pPr>
            <w:r>
              <w:t>Enter review cycle</w:t>
            </w:r>
          </w:p>
        </w:tc>
      </w:tr>
    </w:tbl>
    <w:p>
      <w:pPr>
        <w:pStyle w:val="Kicker"/>
      </w:pPr>
      <w:r>
        <w:t>// purpose</w:t>
      </w:r>
    </w:p>
    <w:p>
      <w:pPr>
        <w:pStyle w:val="Heading1"/>
      </w:pPr>
      <w:r>
        <w:t>Purpose</w:t>
      </w:r>
    </w:p>
    <w:p>
      <w:pPr/>
      <w:r>
        <w:t>The Governance &amp; Risk Management domain establishes the leadership structures, accountability mechanisms, and risk-based decision-making processes that direct an organization's security program and align it with business objectives. This domain governs how security governance is established and overseen, how enterprise and third-party risks are identified, assessed, and treated, how policies and standards are developed and maintained, how the organization prepares to sustain operations through disruption, and how a culture of security awareness is built across the workforce. By institutionalizing clear authority, structured risk management, and continuous oversight, the organization reduces ambiguity in decision-making, strengthens resilience against operational and strategic risks, and ensures that security investments remain defensible, measurable, and aligned with regulatory and contractual obligations.</w:t>
      </w:r>
    </w:p>
    <w:p>
      <w:pPr>
        <w:pStyle w:val="Kicker"/>
      </w:pPr>
      <w:r>
        <w:t>// control family</w:t>
      </w:r>
    </w:p>
    <w:p>
      <w:pPr>
        <w:pStyle w:val="Heading2"/>
      </w:pPr>
      <w:r>
        <w:t>Security Governance and Oversight (GRC)</w:t>
      </w:r>
    </w:p>
    <w:p>
      <w:pPr/>
      <w:r>
        <w:t>Security Governance and Oversight (GRC) establishes the foundational structures through which an organization directs, oversees, and holds itself accountable for security and risk management. This control family defines the governance framework, leadership roles and decision-making authorities, policy and standardization governance, exception handling, security culture, and third-party governance integration required to ensure that security decisions are made deliberately, at the right level, and in alignment with business objectives and regulatory obligations.</w:t>
      </w:r>
    </w:p>
    <w:p>
      <w:pPr>
        <w:keepNext/>
        <w:spacing w:before="180"/>
      </w:pPr>
      <w:r>
        <w:rPr>
          <w:rFonts w:ascii="IBM Plex Mono" w:hAnsi="IBM Plex Mono" w:cs="IBM Plex Mono"/>
          <w:b/>
          <w:color w:val="0E8E66"/>
          <w:sz w:val="19"/>
        </w:rPr>
        <w:t>GRC-01</w:t>
      </w:r>
      <w:r>
        <w:rPr>
          <w:rFonts w:ascii="IBM Plex Sans" w:hAnsi="IBM Plex Sans" w:cs="IBM Plex Sans"/>
          <w:b/>
          <w:color w:val="0B0E11"/>
          <w:sz w:val="21"/>
        </w:rPr>
        <w:t xml:space="preserve">   Governance Framework Establishment</w:t>
      </w:r>
    </w:p>
    <w:p>
      <w:pPr/>
      <w:r>
        <w:t>The organization shall establish a governance framework that defines the roles, responsibilities, and decision-making authorities for security and risk management. The framework shall be documented, reviewed, and approved by senior leadership to ensure alignment with business objectives and regulatory requirements.</w:t>
      </w:r>
    </w:p>
    <w:p>
      <w:pPr>
        <w:keepNext/>
        <w:spacing w:before="180"/>
      </w:pPr>
      <w:r>
        <w:rPr>
          <w:rFonts w:ascii="IBM Plex Mono" w:hAnsi="IBM Plex Mono" w:cs="IBM Plex Mono"/>
          <w:b/>
          <w:color w:val="0E8E66"/>
          <w:sz w:val="19"/>
        </w:rPr>
        <w:t>GRC-02</w:t>
      </w:r>
      <w:r>
        <w:rPr>
          <w:rFonts w:ascii="IBM Plex Sans" w:hAnsi="IBM Plex Sans" w:cs="IBM Plex Sans"/>
          <w:b/>
          <w:color w:val="0B0E11"/>
          <w:sz w:val="21"/>
        </w:rPr>
        <w:t xml:space="preserve">   Security Governance Oversight</w:t>
      </w:r>
    </w:p>
    <w:p>
      <w:pPr/>
      <w:r>
        <w:t>The organization shall designate a senior executive or governing body responsible for overseeing the implementation of security and risk management practices, ensuring alignment with enterprise strategy and regulatory obligations.</w:t>
      </w:r>
    </w:p>
    <w:p>
      <w:pPr>
        <w:keepNext/>
        <w:spacing w:before="180"/>
      </w:pPr>
      <w:r>
        <w:rPr>
          <w:rFonts w:ascii="IBM Plex Mono" w:hAnsi="IBM Plex Mono" w:cs="IBM Plex Mono"/>
          <w:b/>
          <w:color w:val="0E8E66"/>
          <w:sz w:val="19"/>
        </w:rPr>
        <w:t>GRC-03</w:t>
      </w:r>
      <w:r>
        <w:rPr>
          <w:rFonts w:ascii="IBM Plex Sans" w:hAnsi="IBM Plex Sans" w:cs="IBM Plex Sans"/>
          <w:b/>
          <w:color w:val="0B0E11"/>
          <w:sz w:val="21"/>
        </w:rPr>
        <w:t xml:space="preserve">   Security and Risk Management Roles and Responsibilities</w:t>
      </w:r>
    </w:p>
    <w:p>
      <w:pPr/>
      <w:r>
        <w:t>The organization shall define, document, and communicate security and risk management roles and responsibilities for all personnel. This includes executive leadership, security officers, risk managers, compliance officers, and key stakeholders.</w:t>
      </w:r>
    </w:p>
    <w:p>
      <w:pPr>
        <w:keepNext/>
        <w:spacing w:before="180"/>
      </w:pPr>
      <w:r>
        <w:rPr>
          <w:rFonts w:ascii="IBM Plex Mono" w:hAnsi="IBM Plex Mono" w:cs="IBM Plex Mono"/>
          <w:b/>
          <w:color w:val="0E8E66"/>
          <w:sz w:val="19"/>
        </w:rPr>
        <w:t>GRC-04</w:t>
      </w:r>
      <w:r>
        <w:rPr>
          <w:rFonts w:ascii="IBM Plex Sans" w:hAnsi="IBM Plex Sans" w:cs="IBM Plex Sans"/>
          <w:b/>
          <w:color w:val="0B0E11"/>
          <w:sz w:val="21"/>
        </w:rPr>
        <w:t xml:space="preserve">   Security and Compliance Governance Committee</w:t>
      </w:r>
    </w:p>
    <w:p>
      <w:pPr/>
      <w:r>
        <w:t>The organization shall establish a Security and Compliance Governance Committee that meets periodically to review security risks, compliance status, and overall governance effectiveness. The committee shall include representatives from key business units and risk functions.</w:t>
      </w:r>
    </w:p>
    <w:p>
      <w:pPr>
        <w:keepNext/>
        <w:spacing w:before="180"/>
      </w:pPr>
      <w:r>
        <w:rPr>
          <w:rFonts w:ascii="IBM Plex Mono" w:hAnsi="IBM Plex Mono" w:cs="IBM Plex Mono"/>
          <w:b/>
          <w:color w:val="0E8E66"/>
          <w:sz w:val="19"/>
        </w:rPr>
        <w:t>GRC-05</w:t>
      </w:r>
      <w:r>
        <w:rPr>
          <w:rFonts w:ascii="IBM Plex Sans" w:hAnsi="IBM Plex Sans" w:cs="IBM Plex Sans"/>
          <w:b/>
          <w:color w:val="0B0E11"/>
          <w:sz w:val="21"/>
        </w:rPr>
        <w:t xml:space="preserve">   Security and Compliance Risk Integration</w:t>
      </w:r>
    </w:p>
    <w:p>
      <w:pPr/>
      <w:r>
        <w:t>The organization shall integrate security and compliance considerations into business strategy, enterprise risk management (ERM), and corporate governance structures to ensure a holistic approach to risk mitigation.</w:t>
      </w:r>
    </w:p>
    <w:p>
      <w:pPr>
        <w:keepNext/>
        <w:spacing w:before="180"/>
      </w:pPr>
      <w:r>
        <w:rPr>
          <w:rFonts w:ascii="IBM Plex Mono" w:hAnsi="IBM Plex Mono" w:cs="IBM Plex Mono"/>
          <w:b/>
          <w:color w:val="0E8E66"/>
          <w:sz w:val="19"/>
        </w:rPr>
        <w:t>GRC-06</w:t>
      </w:r>
      <w:r>
        <w:rPr>
          <w:rFonts w:ascii="IBM Plex Sans" w:hAnsi="IBM Plex Sans" w:cs="IBM Plex Sans"/>
          <w:b/>
          <w:color w:val="0B0E11"/>
          <w:sz w:val="21"/>
        </w:rPr>
        <w:t xml:space="preserve">   Compliance Program Implementation</w:t>
      </w:r>
    </w:p>
    <w:p>
      <w:pPr/>
      <w:r>
        <w:t>The organization shall develop and implement a compliance program that ensures adherence to applicable legal, regulatory, and industry requirements. The program shall include monitoring, reporting, and remediation mechanisms for compliance violations.</w:t>
      </w:r>
    </w:p>
    <w:p>
      <w:pPr>
        <w:keepNext/>
        <w:spacing w:before="180"/>
      </w:pPr>
      <w:r>
        <w:rPr>
          <w:rFonts w:ascii="IBM Plex Mono" w:hAnsi="IBM Plex Mono" w:cs="IBM Plex Mono"/>
          <w:b/>
          <w:color w:val="0E8E66"/>
          <w:sz w:val="19"/>
        </w:rPr>
        <w:t>GRC-07</w:t>
      </w:r>
      <w:r>
        <w:rPr>
          <w:rFonts w:ascii="IBM Plex Sans" w:hAnsi="IBM Plex Sans" w:cs="IBM Plex Sans"/>
          <w:b/>
          <w:color w:val="0B0E11"/>
          <w:sz w:val="21"/>
        </w:rPr>
        <w:t xml:space="preserve">   Regulatory and Legal Obligations Management</w:t>
      </w:r>
    </w:p>
    <w:p>
      <w:pPr/>
      <w:r>
        <w:t>The organization shall maintain a process for identifying, assessing, and addressing legal, regulatory, and contractual obligations related to security and privacy. Compliance shall be continuously monitored and updated as regulatory landscapes evolve.</w:t>
      </w:r>
    </w:p>
    <w:p>
      <w:pPr>
        <w:keepNext/>
        <w:spacing w:before="180"/>
      </w:pPr>
      <w:r>
        <w:rPr>
          <w:rFonts w:ascii="IBM Plex Mono" w:hAnsi="IBM Plex Mono" w:cs="IBM Plex Mono"/>
          <w:b/>
          <w:color w:val="0E8E66"/>
          <w:sz w:val="19"/>
        </w:rPr>
        <w:t>GRC-08</w:t>
      </w:r>
      <w:r>
        <w:rPr>
          <w:rFonts w:ascii="IBM Plex Sans" w:hAnsi="IBM Plex Sans" w:cs="IBM Plex Sans"/>
          <w:b/>
          <w:color w:val="0B0E11"/>
          <w:sz w:val="21"/>
        </w:rPr>
        <w:t xml:space="preserve">   Risk-Based Decision-Making Framework</w:t>
      </w:r>
    </w:p>
    <w:p>
      <w:pPr/>
      <w:r>
        <w:t>The organization shall implement a risk-based decision-making framework that aligns security investment and operational decisions with business risk tolerance, legal requirements, and compliance obligations.</w:t>
      </w:r>
    </w:p>
    <w:p>
      <w:pPr>
        <w:keepNext/>
        <w:spacing w:before="180"/>
      </w:pPr>
      <w:r>
        <w:rPr>
          <w:rFonts w:ascii="IBM Plex Mono" w:hAnsi="IBM Plex Mono" w:cs="IBM Plex Mono"/>
          <w:b/>
          <w:color w:val="0E8E66"/>
          <w:sz w:val="19"/>
        </w:rPr>
        <w:t>GRC-09</w:t>
      </w:r>
      <w:r>
        <w:rPr>
          <w:rFonts w:ascii="IBM Plex Sans" w:hAnsi="IBM Plex Sans" w:cs="IBM Plex Sans"/>
          <w:b/>
          <w:color w:val="0B0E11"/>
          <w:sz w:val="21"/>
        </w:rPr>
        <w:t xml:space="preserve">   Risk Governance Accountability</w:t>
      </w:r>
    </w:p>
    <w:p>
      <w:pPr/>
      <w:r>
        <w:t>The organization shall establish accountability structures for managing security risks, including documented risk ownership, escalation pathways, and resolution mechanisms.</w:t>
      </w:r>
    </w:p>
    <w:p>
      <w:pPr>
        <w:keepNext/>
        <w:spacing w:before="180"/>
      </w:pPr>
      <w:r>
        <w:rPr>
          <w:rFonts w:ascii="IBM Plex Mono" w:hAnsi="IBM Plex Mono" w:cs="IBM Plex Mono"/>
          <w:b/>
          <w:color w:val="0E8E66"/>
          <w:sz w:val="19"/>
        </w:rPr>
        <w:t>GRC-10</w:t>
      </w:r>
      <w:r>
        <w:rPr>
          <w:rFonts w:ascii="IBM Plex Sans" w:hAnsi="IBM Plex Sans" w:cs="IBM Plex Sans"/>
          <w:b/>
          <w:color w:val="0B0E11"/>
          <w:sz w:val="21"/>
        </w:rPr>
        <w:t xml:space="preserve">   Control Framework Alignment</w:t>
      </w:r>
    </w:p>
    <w:p>
      <w:pPr/>
      <w:r>
        <w:t>The organization shall align its security control framework with industry best practices to ensure consistency and effectiveness in governance, risk, and compliance practices.</w:t>
      </w:r>
    </w:p>
    <w:p>
      <w:pPr>
        <w:keepNext/>
        <w:spacing w:before="180"/>
      </w:pPr>
      <w:r>
        <w:rPr>
          <w:rFonts w:ascii="IBM Plex Mono" w:hAnsi="IBM Plex Mono" w:cs="IBM Plex Mono"/>
          <w:b/>
          <w:color w:val="0E8E66"/>
          <w:sz w:val="19"/>
        </w:rPr>
        <w:t>GRC-11</w:t>
      </w:r>
      <w:r>
        <w:rPr>
          <w:rFonts w:ascii="IBM Plex Sans" w:hAnsi="IBM Plex Sans" w:cs="IBM Plex Sans"/>
          <w:b/>
          <w:color w:val="0B0E11"/>
          <w:sz w:val="21"/>
        </w:rPr>
        <w:t xml:space="preserve">   Security Policy and Standardization Governance</w:t>
      </w:r>
    </w:p>
    <w:p>
      <w:pPr/>
      <w:r>
        <w:t>The organization shall implement governance processes for the creation, approval, dissemination, and enforcement of security policies and standards across all operational units.</w:t>
      </w:r>
    </w:p>
    <w:p>
      <w:pPr>
        <w:keepNext/>
        <w:spacing w:before="180"/>
      </w:pPr>
      <w:r>
        <w:rPr>
          <w:rFonts w:ascii="IBM Plex Mono" w:hAnsi="IBM Plex Mono" w:cs="IBM Plex Mono"/>
          <w:b/>
          <w:color w:val="0E8E66"/>
          <w:sz w:val="19"/>
        </w:rPr>
        <w:t>GRC-12</w:t>
      </w:r>
      <w:r>
        <w:rPr>
          <w:rFonts w:ascii="IBM Plex Sans" w:hAnsi="IBM Plex Sans" w:cs="IBM Plex Sans"/>
          <w:b/>
          <w:color w:val="0B0E11"/>
          <w:sz w:val="21"/>
        </w:rPr>
        <w:t xml:space="preserve">   Policy Exception Management</w:t>
      </w:r>
    </w:p>
    <w:p>
      <w:pPr/>
      <w:r>
        <w:t>The organization shall establish a formal process for requesting, reviewing, and approving exceptions to security policies and controls. Exceptions shall be documented, risk-assessed, and subject to periodic review.</w:t>
      </w:r>
    </w:p>
    <w:p>
      <w:pPr>
        <w:keepNext/>
        <w:spacing w:before="180"/>
      </w:pPr>
      <w:r>
        <w:rPr>
          <w:rFonts w:ascii="IBM Plex Mono" w:hAnsi="IBM Plex Mono" w:cs="IBM Plex Mono"/>
          <w:b/>
          <w:color w:val="0E8E66"/>
          <w:sz w:val="19"/>
        </w:rPr>
        <w:t>GRC-13</w:t>
      </w:r>
      <w:r>
        <w:rPr>
          <w:rFonts w:ascii="IBM Plex Sans" w:hAnsi="IBM Plex Sans" w:cs="IBM Plex Sans"/>
          <w:b/>
          <w:color w:val="0B0E11"/>
          <w:sz w:val="21"/>
        </w:rPr>
        <w:t xml:space="preserve">   Ethics and Compliance Reporting Mechanism</w:t>
      </w:r>
    </w:p>
    <w:p>
      <w:pPr/>
      <w:r>
        <w:t>The organization shall implement a mechanism for employees, contractors, and stakeholders to report ethics and compliance concerns anonymously and without fear of retaliation.</w:t>
      </w:r>
    </w:p>
    <w:p>
      <w:pPr>
        <w:keepNext/>
        <w:spacing w:before="180"/>
      </w:pPr>
      <w:r>
        <w:rPr>
          <w:rFonts w:ascii="IBM Plex Mono" w:hAnsi="IBM Plex Mono" w:cs="IBM Plex Mono"/>
          <w:b/>
          <w:color w:val="0E8E66"/>
          <w:sz w:val="19"/>
        </w:rPr>
        <w:t>GRC-14</w:t>
      </w:r>
      <w:r>
        <w:rPr>
          <w:rFonts w:ascii="IBM Plex Sans" w:hAnsi="IBM Plex Sans" w:cs="IBM Plex Sans"/>
          <w:b/>
          <w:color w:val="0B0E11"/>
          <w:sz w:val="21"/>
        </w:rPr>
        <w:t xml:space="preserve">   Security Awareness and Cultural Integration</w:t>
      </w:r>
    </w:p>
    <w:p>
      <w:pPr/>
      <w:r>
        <w:t>The organization shall foster a culture of security awareness by integrating security governance principles into corporate culture, leadership messaging, and employee engagement initiatives.</w:t>
      </w:r>
    </w:p>
    <w:p>
      <w:pPr>
        <w:keepNext/>
        <w:spacing w:before="180"/>
      </w:pPr>
      <w:r>
        <w:rPr>
          <w:rFonts w:ascii="IBM Plex Mono" w:hAnsi="IBM Plex Mono" w:cs="IBM Plex Mono"/>
          <w:b/>
          <w:color w:val="0E8E66"/>
          <w:sz w:val="19"/>
        </w:rPr>
        <w:t>GRC-15</w:t>
      </w:r>
      <w:r>
        <w:rPr>
          <w:rFonts w:ascii="IBM Plex Sans" w:hAnsi="IBM Plex Sans" w:cs="IBM Plex Sans"/>
          <w:b/>
          <w:color w:val="0B0E11"/>
          <w:sz w:val="21"/>
        </w:rPr>
        <w:t xml:space="preserve">   Metrics and Continuous Improvement</w:t>
      </w:r>
    </w:p>
    <w:p>
      <w:pPr/>
      <w:r>
        <w:t>The organization shall define and track governance, risk, and compliance metrics to measure program effectiveness. Metrics shall be reviewed periodically, and improvements shall be made based on analysis and industry benchmarking.</w:t>
      </w:r>
    </w:p>
    <w:p>
      <w:pPr>
        <w:keepNext/>
        <w:spacing w:before="180"/>
      </w:pPr>
      <w:r>
        <w:rPr>
          <w:rFonts w:ascii="IBM Plex Mono" w:hAnsi="IBM Plex Mono" w:cs="IBM Plex Mono"/>
          <w:b/>
          <w:color w:val="0E8E66"/>
          <w:sz w:val="19"/>
        </w:rPr>
        <w:t>GRC-16</w:t>
      </w:r>
      <w:r>
        <w:rPr>
          <w:rFonts w:ascii="IBM Plex Sans" w:hAnsi="IBM Plex Sans" w:cs="IBM Plex Sans"/>
          <w:b/>
          <w:color w:val="0B0E11"/>
          <w:sz w:val="21"/>
        </w:rPr>
        <w:t xml:space="preserve">   Internal and External Audit Coordination</w:t>
      </w:r>
    </w:p>
    <w:p>
      <w:pPr/>
      <w:r>
        <w:t>The organization shall establish coordination mechanisms between security governance teams and internal/external auditors to facilitate transparent assessments, regulatory compliance, and risk mitigation efforts.</w:t>
      </w:r>
    </w:p>
    <w:p>
      <w:pPr>
        <w:keepNext/>
        <w:spacing w:before="180"/>
      </w:pPr>
      <w:r>
        <w:rPr>
          <w:rFonts w:ascii="IBM Plex Mono" w:hAnsi="IBM Plex Mono" w:cs="IBM Plex Mono"/>
          <w:b/>
          <w:color w:val="0E8E66"/>
          <w:sz w:val="19"/>
        </w:rPr>
        <w:t>GRC-17</w:t>
      </w:r>
      <w:r>
        <w:rPr>
          <w:rFonts w:ascii="IBM Plex Sans" w:hAnsi="IBM Plex Sans" w:cs="IBM Plex Sans"/>
          <w:b/>
          <w:color w:val="0B0E11"/>
          <w:sz w:val="21"/>
        </w:rPr>
        <w:t xml:space="preserve">   Communication and Stakeholder Engagement</w:t>
      </w:r>
    </w:p>
    <w:p>
      <w:pPr/>
      <w:r>
        <w:t>The organization shall develop a structured communication plan for engaging internal and external stakeholders in governance, risk, and compliance activities. The plan shall include periodic reporting, escalation procedures, and advisory sessions.</w:t>
      </w:r>
    </w:p>
    <w:p>
      <w:pPr>
        <w:keepNext/>
        <w:spacing w:before="180"/>
      </w:pPr>
      <w:r>
        <w:rPr>
          <w:rFonts w:ascii="IBM Plex Mono" w:hAnsi="IBM Plex Mono" w:cs="IBM Plex Mono"/>
          <w:b/>
          <w:color w:val="0E8E66"/>
          <w:sz w:val="19"/>
        </w:rPr>
        <w:t>GRC-18</w:t>
      </w:r>
      <w:r>
        <w:rPr>
          <w:rFonts w:ascii="IBM Plex Sans" w:hAnsi="IBM Plex Sans" w:cs="IBM Plex Sans"/>
          <w:b/>
          <w:color w:val="0B0E11"/>
          <w:sz w:val="21"/>
        </w:rPr>
        <w:t xml:space="preserve">   Governance for Emerging Risks and Technologies</w:t>
      </w:r>
    </w:p>
    <w:p>
      <w:pPr/>
      <w:r>
        <w:t>The organization shall periodically assess and update governance structures to address emerging risks, such as cloud security, artificial intelligence, quantum computing, and evolving regulatory requirements.</w:t>
      </w:r>
    </w:p>
    <w:p>
      <w:pPr>
        <w:keepNext/>
        <w:spacing w:before="180"/>
      </w:pPr>
      <w:r>
        <w:rPr>
          <w:rFonts w:ascii="IBM Plex Mono" w:hAnsi="IBM Plex Mono" w:cs="IBM Plex Mono"/>
          <w:b/>
          <w:color w:val="0E8E66"/>
          <w:sz w:val="19"/>
        </w:rPr>
        <w:t>GRC-19</w:t>
      </w:r>
      <w:r>
        <w:rPr>
          <w:rFonts w:ascii="IBM Plex Sans" w:hAnsi="IBM Plex Sans" w:cs="IBM Plex Sans"/>
          <w:b/>
          <w:color w:val="0B0E11"/>
          <w:sz w:val="21"/>
        </w:rPr>
        <w:t xml:space="preserve">   Governance for Mergers, Acquisitions, and Divestitures</w:t>
      </w:r>
    </w:p>
    <w:p>
      <w:pPr/>
      <w:r>
        <w:t>The organization shall implement governance controls for assessing security risks and compliance implications in mergers, acquisitions, and divestiture activities, ensuring seamless integration and risk mitigation.</w:t>
      </w:r>
    </w:p>
    <w:p>
      <w:pPr>
        <w:keepNext/>
        <w:spacing w:before="180"/>
      </w:pPr>
      <w:r>
        <w:rPr>
          <w:rFonts w:ascii="IBM Plex Mono" w:hAnsi="IBM Plex Mono" w:cs="IBM Plex Mono"/>
          <w:b/>
          <w:color w:val="0E8E66"/>
          <w:sz w:val="19"/>
        </w:rPr>
        <w:t>GRC-20</w:t>
      </w:r>
      <w:r>
        <w:rPr>
          <w:rFonts w:ascii="IBM Plex Sans" w:hAnsi="IBM Plex Sans" w:cs="IBM Plex Sans"/>
          <w:b/>
          <w:color w:val="0B0E11"/>
          <w:sz w:val="21"/>
        </w:rPr>
        <w:t xml:space="preserve">   Third-Party Governance Integration</w:t>
      </w:r>
    </w:p>
    <w:p>
      <w:pPr/>
      <w:r>
        <w:t>The organization shall ensure that governance, risk, and compliance expectations extend to third-party service providers, partners, and vendors through formalized contracts, assessments, and monitoring mechanisms.</w:t>
      </w:r>
    </w:p>
    <w:p>
      <w:pPr>
        <w:pStyle w:val="Kicker"/>
      </w:pPr>
      <w:r>
        <w:t>// control family</w:t>
      </w:r>
    </w:p>
    <w:p>
      <w:pPr>
        <w:pStyle w:val="Heading2"/>
      </w:pPr>
      <w:r>
        <w:t>Enterprise Risk Management (ERM)</w:t>
      </w:r>
    </w:p>
    <w:p>
      <w:pPr/>
      <w:r>
        <w:t>The ERM control family enables the organization to identify, assess, prioritize, and manage risks that could impact business operations, financial performance, regulatory compliance, and strategic objectives. It ensures a structured, risk-based approach to decision-making, integrating risk tolerance and mitigation strategies across all business functions to enhance resilience and adaptability.</w:t>
      </w:r>
    </w:p>
    <w:p>
      <w:pPr>
        <w:keepNext/>
        <w:spacing w:before="180"/>
      </w:pPr>
      <w:r>
        <w:rPr>
          <w:rFonts w:ascii="IBM Plex Mono" w:hAnsi="IBM Plex Mono" w:cs="IBM Plex Mono"/>
          <w:b/>
          <w:color w:val="0E8E66"/>
          <w:sz w:val="19"/>
        </w:rPr>
        <w:t>ERM-01</w:t>
      </w:r>
      <w:r>
        <w:rPr>
          <w:rFonts w:ascii="IBM Plex Sans" w:hAnsi="IBM Plex Sans" w:cs="IBM Plex Sans"/>
          <w:b/>
          <w:color w:val="0B0E11"/>
          <w:sz w:val="21"/>
        </w:rPr>
        <w:t xml:space="preserve">   Enterprise Risk Management Framework</w:t>
      </w:r>
    </w:p>
    <w:p>
      <w:pPr/>
      <w:r>
        <w:t>The organization shall establish and maintain an enterprise risk management (ERM) framework that integrates risk identification, assessment, response, and monitoring across all business functions.</w:t>
      </w:r>
    </w:p>
    <w:p>
      <w:pPr>
        <w:keepNext/>
        <w:spacing w:before="180"/>
      </w:pPr>
      <w:r>
        <w:rPr>
          <w:rFonts w:ascii="IBM Plex Mono" w:hAnsi="IBM Plex Mono" w:cs="IBM Plex Mono"/>
          <w:b/>
          <w:color w:val="0E8E66"/>
          <w:sz w:val="19"/>
        </w:rPr>
        <w:t>ERM-02</w:t>
      </w:r>
      <w:r>
        <w:rPr>
          <w:rFonts w:ascii="IBM Plex Sans" w:hAnsi="IBM Plex Sans" w:cs="IBM Plex Sans"/>
          <w:b/>
          <w:color w:val="0B0E11"/>
          <w:sz w:val="21"/>
        </w:rPr>
        <w:t xml:space="preserve">   Risk Appetite and Tolerance Definition</w:t>
      </w:r>
    </w:p>
    <w:p>
      <w:pPr/>
      <w:r>
        <w:t>The organization shall define and document its risk appetite and tolerance levels to guide decision-making and risk acceptance criteria. These shall be reviewed and approved by executive leadership and integrated into operational risk management processes.</w:t>
      </w:r>
    </w:p>
    <w:p>
      <w:pPr>
        <w:keepNext/>
        <w:spacing w:before="180"/>
      </w:pPr>
      <w:r>
        <w:rPr>
          <w:rFonts w:ascii="IBM Plex Mono" w:hAnsi="IBM Plex Mono" w:cs="IBM Plex Mono"/>
          <w:b/>
          <w:color w:val="0E8E66"/>
          <w:sz w:val="19"/>
        </w:rPr>
        <w:t>ERM-03</w:t>
      </w:r>
      <w:r>
        <w:rPr>
          <w:rFonts w:ascii="IBM Plex Sans" w:hAnsi="IBM Plex Sans" w:cs="IBM Plex Sans"/>
          <w:b/>
          <w:color w:val="0B0E11"/>
          <w:sz w:val="21"/>
        </w:rPr>
        <w:t xml:space="preserve">   Risk Governance Structure</w:t>
      </w:r>
    </w:p>
    <w:p>
      <w:pPr/>
      <w:r>
        <w:t>The organization shall implement a structured risk governance model that assigns risk ownership, establishes escalation pathways, and defines accountability for risk-related decisions.</w:t>
      </w:r>
    </w:p>
    <w:p>
      <w:pPr>
        <w:keepNext/>
        <w:spacing w:before="180"/>
      </w:pPr>
      <w:r>
        <w:rPr>
          <w:rFonts w:ascii="IBM Plex Mono" w:hAnsi="IBM Plex Mono" w:cs="IBM Plex Mono"/>
          <w:b/>
          <w:color w:val="0E8E66"/>
          <w:sz w:val="19"/>
        </w:rPr>
        <w:t>ERM-04</w:t>
      </w:r>
      <w:r>
        <w:rPr>
          <w:rFonts w:ascii="IBM Plex Sans" w:hAnsi="IBM Plex Sans" w:cs="IBM Plex Sans"/>
          <w:b/>
          <w:color w:val="0B0E11"/>
          <w:sz w:val="21"/>
        </w:rPr>
        <w:t xml:space="preserve">   Enterprise Risk Identification Process</w:t>
      </w:r>
    </w:p>
    <w:p>
      <w:pPr/>
      <w:r>
        <w:t>The organization shall implement a formalized process for identifying risks across all operational, financial, regulatory, and technological domains. Risk identification shall be continuous and include internal and external threat considerations.</w:t>
      </w:r>
    </w:p>
    <w:p>
      <w:pPr>
        <w:keepNext/>
        <w:spacing w:before="180"/>
      </w:pPr>
      <w:r>
        <w:rPr>
          <w:rFonts w:ascii="IBM Plex Mono" w:hAnsi="IBM Plex Mono" w:cs="IBM Plex Mono"/>
          <w:b/>
          <w:color w:val="0E8E66"/>
          <w:sz w:val="19"/>
        </w:rPr>
        <w:t>ERM-05</w:t>
      </w:r>
      <w:r>
        <w:rPr>
          <w:rFonts w:ascii="IBM Plex Sans" w:hAnsi="IBM Plex Sans" w:cs="IBM Plex Sans"/>
          <w:b/>
          <w:color w:val="0B0E11"/>
          <w:sz w:val="21"/>
        </w:rPr>
        <w:t xml:space="preserve">   Risk Assessment and Prioritization</w:t>
      </w:r>
    </w:p>
    <w:p>
      <w:pPr/>
      <w:r>
        <w:t>The organization shall conduct qualitative and quantitative risk assessments based on impact, likelihood, and business context. Risk prioritization shall be data-driven and support resource allocation for risk treatment.</w:t>
      </w:r>
    </w:p>
    <w:p>
      <w:pPr>
        <w:keepNext/>
        <w:spacing w:before="180"/>
      </w:pPr>
      <w:r>
        <w:rPr>
          <w:rFonts w:ascii="IBM Plex Mono" w:hAnsi="IBM Plex Mono" w:cs="IBM Plex Mono"/>
          <w:b/>
          <w:color w:val="0E8E66"/>
          <w:sz w:val="19"/>
        </w:rPr>
        <w:t>ERM-06</w:t>
      </w:r>
      <w:r>
        <w:rPr>
          <w:rFonts w:ascii="IBM Plex Sans" w:hAnsi="IBM Plex Sans" w:cs="IBM Plex Sans"/>
          <w:b/>
          <w:color w:val="0B0E11"/>
          <w:sz w:val="21"/>
        </w:rPr>
        <w:t xml:space="preserve">   Risk Treatment and Mitigation Strategies</w:t>
      </w:r>
    </w:p>
    <w:p>
      <w:pPr/>
      <w:r>
        <w:t>The organization shall establish risk treatment plans that outline mitigation, transfer, acceptance, or avoidance strategies. Risk treatments shall be documented and continuously evaluated for effectiveness.</w:t>
      </w:r>
    </w:p>
    <w:p>
      <w:pPr>
        <w:keepNext/>
        <w:spacing w:before="180"/>
      </w:pPr>
      <w:r>
        <w:rPr>
          <w:rFonts w:ascii="IBM Plex Mono" w:hAnsi="IBM Plex Mono" w:cs="IBM Plex Mono"/>
          <w:b/>
          <w:color w:val="0E8E66"/>
          <w:sz w:val="19"/>
        </w:rPr>
        <w:t>ERM-07</w:t>
      </w:r>
      <w:r>
        <w:rPr>
          <w:rFonts w:ascii="IBM Plex Sans" w:hAnsi="IBM Plex Sans" w:cs="IBM Plex Sans"/>
          <w:b/>
          <w:color w:val="0B0E11"/>
          <w:sz w:val="21"/>
        </w:rPr>
        <w:t xml:space="preserve">   Risk Aggregation and Reporting</w:t>
      </w:r>
    </w:p>
    <w:p>
      <w:pPr/>
      <w:r>
        <w:t>The organization shall develop a centralized risk aggregation and reporting mechanism that consolidates risks across departments, providing executive leadership with a comprehensive view of enterprise risks.</w:t>
      </w:r>
    </w:p>
    <w:p>
      <w:pPr>
        <w:keepNext/>
        <w:spacing w:before="180"/>
      </w:pPr>
      <w:r>
        <w:rPr>
          <w:rFonts w:ascii="IBM Plex Mono" w:hAnsi="IBM Plex Mono" w:cs="IBM Plex Mono"/>
          <w:b/>
          <w:color w:val="0E8E66"/>
          <w:sz w:val="19"/>
        </w:rPr>
        <w:t>ERM-08</w:t>
      </w:r>
      <w:r>
        <w:rPr>
          <w:rFonts w:ascii="IBM Plex Sans" w:hAnsi="IBM Plex Sans" w:cs="IBM Plex Sans"/>
          <w:b/>
          <w:color w:val="0B0E11"/>
          <w:sz w:val="21"/>
        </w:rPr>
        <w:t xml:space="preserve">   Continuous Risk Monitoring and Reassessment</w:t>
      </w:r>
    </w:p>
    <w:p>
      <w:pPr/>
      <w:r>
        <w:t>The organization shall establish continuous risk monitoring mechanisms to detect emerging threats and changing risk conditions. Risk assessments shall be reassessed periodically or when significant changes occur.</w:t>
      </w:r>
    </w:p>
    <w:p>
      <w:pPr>
        <w:keepNext/>
        <w:spacing w:before="180"/>
      </w:pPr>
      <w:r>
        <w:rPr>
          <w:rFonts w:ascii="IBM Plex Mono" w:hAnsi="IBM Plex Mono" w:cs="IBM Plex Mono"/>
          <w:b/>
          <w:color w:val="0E8E66"/>
          <w:sz w:val="19"/>
        </w:rPr>
        <w:t>ERM-09</w:t>
      </w:r>
      <w:r>
        <w:rPr>
          <w:rFonts w:ascii="IBM Plex Sans" w:hAnsi="IBM Plex Sans" w:cs="IBM Plex Sans"/>
          <w:b/>
          <w:color w:val="0B0E11"/>
          <w:sz w:val="21"/>
        </w:rPr>
        <w:t xml:space="preserve">   Key Risk Indicators (KRIs) Implementation</w:t>
      </w:r>
    </w:p>
    <w:p>
      <w:pPr/>
      <w:r>
        <w:t>The organization shall define and monitor Key Risk Indicators (KRIs) to provide early warnings of potential risk events. KRIs shall be aligned with enterprise objectives and reviewed regularly for relevance.</w:t>
      </w:r>
    </w:p>
    <w:p>
      <w:pPr>
        <w:keepNext/>
        <w:spacing w:before="180"/>
      </w:pPr>
      <w:r>
        <w:rPr>
          <w:rFonts w:ascii="IBM Plex Mono" w:hAnsi="IBM Plex Mono" w:cs="IBM Plex Mono"/>
          <w:b/>
          <w:color w:val="0E8E66"/>
          <w:sz w:val="19"/>
        </w:rPr>
        <w:t>ERM-10</w:t>
      </w:r>
      <w:r>
        <w:rPr>
          <w:rFonts w:ascii="IBM Plex Sans" w:hAnsi="IBM Plex Sans" w:cs="IBM Plex Sans"/>
          <w:b/>
          <w:color w:val="0B0E11"/>
          <w:sz w:val="21"/>
        </w:rPr>
        <w:t xml:space="preserve">   Risk-Based Decision-Making Integration</w:t>
      </w:r>
    </w:p>
    <w:p>
      <w:pPr/>
      <w:r>
        <w:t>The organization shall integrate risk considerations into strategic planning, investment decisions, and operational processes, ensuring that risk exposure is factored into decision-making.</w:t>
      </w:r>
    </w:p>
    <w:p>
      <w:pPr>
        <w:keepNext/>
        <w:spacing w:before="180"/>
      </w:pPr>
      <w:r>
        <w:rPr>
          <w:rFonts w:ascii="IBM Plex Mono" w:hAnsi="IBM Plex Mono" w:cs="IBM Plex Mono"/>
          <w:b/>
          <w:color w:val="0E8E66"/>
          <w:sz w:val="19"/>
        </w:rPr>
        <w:t>ERM-11</w:t>
      </w:r>
      <w:r>
        <w:rPr>
          <w:rFonts w:ascii="IBM Plex Sans" w:hAnsi="IBM Plex Sans" w:cs="IBM Plex Sans"/>
          <w:b/>
          <w:color w:val="0B0E11"/>
          <w:sz w:val="21"/>
        </w:rPr>
        <w:t xml:space="preserve">   Scenario Analysis and Stress Testing</w:t>
      </w:r>
    </w:p>
    <w:p>
      <w:pPr/>
      <w:r>
        <w:t>The organization shall conduct scenario-based risk analysis and stress testing exercises to evaluate the resilience of business operations under adverse conditions.</w:t>
      </w:r>
    </w:p>
    <w:p>
      <w:pPr>
        <w:keepNext/>
        <w:spacing w:before="180"/>
      </w:pPr>
      <w:r>
        <w:rPr>
          <w:rFonts w:ascii="IBM Plex Mono" w:hAnsi="IBM Plex Mono" w:cs="IBM Plex Mono"/>
          <w:b/>
          <w:color w:val="0E8E66"/>
          <w:sz w:val="19"/>
        </w:rPr>
        <w:t>ERM-12</w:t>
      </w:r>
      <w:r>
        <w:rPr>
          <w:rFonts w:ascii="IBM Plex Sans" w:hAnsi="IBM Plex Sans" w:cs="IBM Plex Sans"/>
          <w:b/>
          <w:color w:val="0B0E11"/>
          <w:sz w:val="21"/>
        </w:rPr>
        <w:t xml:space="preserve">   Risk Communication and Awareness</w:t>
      </w:r>
    </w:p>
    <w:p>
      <w:pPr/>
      <w:r>
        <w:t>The organization shall implement structured communication protocols for informing stakeholders about enterprise risks, mitigation plans, and response strategies.</w:t>
      </w:r>
    </w:p>
    <w:p>
      <w:pPr>
        <w:keepNext/>
        <w:spacing w:before="180"/>
      </w:pPr>
      <w:r>
        <w:rPr>
          <w:rFonts w:ascii="IBM Plex Mono" w:hAnsi="IBM Plex Mono" w:cs="IBM Plex Mono"/>
          <w:b/>
          <w:color w:val="0E8E66"/>
          <w:sz w:val="19"/>
        </w:rPr>
        <w:t>ERM-13</w:t>
      </w:r>
      <w:r>
        <w:rPr>
          <w:rFonts w:ascii="IBM Plex Sans" w:hAnsi="IBM Plex Sans" w:cs="IBM Plex Sans"/>
          <w:b/>
          <w:color w:val="0B0E11"/>
          <w:sz w:val="21"/>
        </w:rPr>
        <w:t xml:space="preserve">   Third-Party and Supply Chain Risk Management</w:t>
      </w:r>
    </w:p>
    <w:p>
      <w:pPr/>
      <w:r>
        <w:t>The organization shall assess and manage risks associated with third-party vendors, suppliers, and partners, ensuring that enterprise risk exposure is minimized through contractual agreements and continuous monitoring.</w:t>
      </w:r>
    </w:p>
    <w:p>
      <w:pPr>
        <w:keepNext/>
        <w:spacing w:before="180"/>
      </w:pPr>
      <w:r>
        <w:rPr>
          <w:rFonts w:ascii="IBM Plex Mono" w:hAnsi="IBM Plex Mono" w:cs="IBM Plex Mono"/>
          <w:b/>
          <w:color w:val="0E8E66"/>
          <w:sz w:val="19"/>
        </w:rPr>
        <w:t>ERM-14</w:t>
      </w:r>
      <w:r>
        <w:rPr>
          <w:rFonts w:ascii="IBM Plex Sans" w:hAnsi="IBM Plex Sans" w:cs="IBM Plex Sans"/>
          <w:b/>
          <w:color w:val="0B0E11"/>
          <w:sz w:val="21"/>
        </w:rPr>
        <w:t xml:space="preserve">   Regulatory and Compliance Risk Management</w:t>
      </w:r>
    </w:p>
    <w:p>
      <w:pPr/>
      <w:r>
        <w:t>The organization shall monitor and assess regulatory and compliance risks to ensure adherence to evolving legal, industry, and contractual obligations.</w:t>
      </w:r>
    </w:p>
    <w:p>
      <w:pPr>
        <w:keepNext/>
        <w:spacing w:before="180"/>
      </w:pPr>
      <w:r>
        <w:rPr>
          <w:rFonts w:ascii="IBM Plex Mono" w:hAnsi="IBM Plex Mono" w:cs="IBM Plex Mono"/>
          <w:b/>
          <w:color w:val="0E8E66"/>
          <w:sz w:val="19"/>
        </w:rPr>
        <w:t>ERM-15</w:t>
      </w:r>
      <w:r>
        <w:rPr>
          <w:rFonts w:ascii="IBM Plex Sans" w:hAnsi="IBM Plex Sans" w:cs="IBM Plex Sans"/>
          <w:b/>
          <w:color w:val="0B0E11"/>
          <w:sz w:val="21"/>
        </w:rPr>
        <w:t xml:space="preserve">   Risk Escalation and Exception Handling</w:t>
      </w:r>
    </w:p>
    <w:p>
      <w:pPr/>
      <w:r>
        <w:t>The organization shall establish a formal process for escalating high-priority risks to executive leadership and managing exceptions to risk policies through documented justifications and compensating controls.</w:t>
      </w:r>
    </w:p>
    <w:p>
      <w:pPr>
        <w:keepNext/>
        <w:spacing w:before="180"/>
      </w:pPr>
      <w:r>
        <w:rPr>
          <w:rFonts w:ascii="IBM Plex Mono" w:hAnsi="IBM Plex Mono" w:cs="IBM Plex Mono"/>
          <w:b/>
          <w:color w:val="0E8E66"/>
          <w:sz w:val="19"/>
        </w:rPr>
        <w:t>ERM-16</w:t>
      </w:r>
      <w:r>
        <w:rPr>
          <w:rFonts w:ascii="IBM Plex Sans" w:hAnsi="IBM Plex Sans" w:cs="IBM Plex Sans"/>
          <w:b/>
          <w:color w:val="0B0E11"/>
          <w:sz w:val="21"/>
        </w:rPr>
        <w:t xml:space="preserve">   Enterprise Risk Management Maturity Evaluation</w:t>
      </w:r>
    </w:p>
    <w:p>
      <w:pPr/>
      <w:r>
        <w:t>The organization shall periodically assess and benchmark its ERM program against industry best practices to ensure continuous improvement and maturity progression.</w:t>
      </w:r>
    </w:p>
    <w:p>
      <w:pPr>
        <w:keepNext/>
        <w:spacing w:before="180"/>
      </w:pPr>
      <w:r>
        <w:rPr>
          <w:rFonts w:ascii="IBM Plex Mono" w:hAnsi="IBM Plex Mono" w:cs="IBM Plex Mono"/>
          <w:b/>
          <w:color w:val="0E8E66"/>
          <w:sz w:val="19"/>
        </w:rPr>
        <w:t>ERM-17</w:t>
      </w:r>
      <w:r>
        <w:rPr>
          <w:rFonts w:ascii="IBM Plex Sans" w:hAnsi="IBM Plex Sans" w:cs="IBM Plex Sans"/>
          <w:b/>
          <w:color w:val="0B0E11"/>
          <w:sz w:val="21"/>
        </w:rPr>
        <w:t xml:space="preserve">   Risk Integration in Mergers, Acquisitions, and Divestitures</w:t>
      </w:r>
    </w:p>
    <w:p>
      <w:pPr/>
      <w:r>
        <w:t>The organization shall conduct risk assessments during mergers, acquisitions, and divestitures to evaluate security, financial, and operational risks associated with business transitions.</w:t>
      </w:r>
    </w:p>
    <w:p>
      <w:pPr>
        <w:keepNext/>
        <w:spacing w:before="180"/>
      </w:pPr>
      <w:r>
        <w:rPr>
          <w:rFonts w:ascii="IBM Plex Mono" w:hAnsi="IBM Plex Mono" w:cs="IBM Plex Mono"/>
          <w:b/>
          <w:color w:val="0E8E66"/>
          <w:sz w:val="19"/>
        </w:rPr>
        <w:t>ERM-18</w:t>
      </w:r>
      <w:r>
        <w:rPr>
          <w:rFonts w:ascii="IBM Plex Sans" w:hAnsi="IBM Plex Sans" w:cs="IBM Plex Sans"/>
          <w:b/>
          <w:color w:val="0B0E11"/>
          <w:sz w:val="21"/>
        </w:rPr>
        <w:t xml:space="preserve">   Emerging Risk Identification and Adaptation</w:t>
      </w:r>
    </w:p>
    <w:p>
      <w:pPr/>
      <w:r>
        <w:t>The organization shall establish processes to identify, analyze, and adapt to emerging risks, including geopolitical, economic, technological, and environmental threats.</w:t>
      </w:r>
    </w:p>
    <w:p>
      <w:pPr>
        <w:keepNext/>
        <w:spacing w:before="180"/>
      </w:pPr>
      <w:r>
        <w:rPr>
          <w:rFonts w:ascii="IBM Plex Mono" w:hAnsi="IBM Plex Mono" w:cs="IBM Plex Mono"/>
          <w:b/>
          <w:color w:val="0E8E66"/>
          <w:sz w:val="19"/>
        </w:rPr>
        <w:t>ERM-19</w:t>
      </w:r>
      <w:r>
        <w:rPr>
          <w:rFonts w:ascii="IBM Plex Sans" w:hAnsi="IBM Plex Sans" w:cs="IBM Plex Sans"/>
          <w:b/>
          <w:color w:val="0B0E11"/>
          <w:sz w:val="21"/>
        </w:rPr>
        <w:t xml:space="preserve">   Cyber Risk Management Alignment</w:t>
      </w:r>
    </w:p>
    <w:p>
      <w:pPr/>
      <w:r>
        <w:t>The organization shall integrate cybersecurity risk management within the broader ERM framework, ensuring cyber threats and vulnerabilities are assessed and addressed at the enterprise level.</w:t>
      </w:r>
    </w:p>
    <w:p>
      <w:pPr>
        <w:keepNext/>
        <w:spacing w:before="180"/>
      </w:pPr>
      <w:r>
        <w:rPr>
          <w:rFonts w:ascii="IBM Plex Mono" w:hAnsi="IBM Plex Mono" w:cs="IBM Plex Mono"/>
          <w:b/>
          <w:color w:val="0E8E66"/>
          <w:sz w:val="19"/>
        </w:rPr>
        <w:t>ERM-20</w:t>
      </w:r>
      <w:r>
        <w:rPr>
          <w:rFonts w:ascii="IBM Plex Sans" w:hAnsi="IBM Plex Sans" w:cs="IBM Plex Sans"/>
          <w:b/>
          <w:color w:val="0B0E11"/>
          <w:sz w:val="21"/>
        </w:rPr>
        <w:t xml:space="preserve">   Business Impact Analysis (BIA) Integration</w:t>
      </w:r>
    </w:p>
    <w:p>
      <w:pPr/>
      <w:r>
        <w:t>The organization shall incorporate business impact analysis (BIA) findings into enterprise risk management activities to align risk prioritization with business continuity objectives.</w:t>
      </w:r>
    </w:p>
    <w:p>
      <w:pPr>
        <w:pStyle w:val="Kicker"/>
      </w:pPr>
      <w:r>
        <w:t>// control family</w:t>
      </w:r>
    </w:p>
    <w:p>
      <w:pPr>
        <w:pStyle w:val="Heading2"/>
      </w:pPr>
      <w:r>
        <w:t>Third-Party Risk Management (TPR)</w:t>
      </w:r>
    </w:p>
    <w:p>
      <w:pPr/>
      <w:r>
        <w:t>The TPR control family governs the assessment, monitoring, and mitigation of risks associated with third-party relationships, including vendors, suppliers, and service providers. It ensures that external entities adhere to security requirements, contractual obligations, and regulatory standards, reducing the risk exposure from supply chain vulnerabilities and outsourced services.</w:t>
      </w:r>
    </w:p>
    <w:p>
      <w:pPr>
        <w:keepNext/>
        <w:spacing w:before="180"/>
      </w:pPr>
      <w:r>
        <w:rPr>
          <w:rFonts w:ascii="IBM Plex Mono" w:hAnsi="IBM Plex Mono" w:cs="IBM Plex Mono"/>
          <w:b/>
          <w:color w:val="0E8E66"/>
          <w:sz w:val="19"/>
        </w:rPr>
        <w:t>TPR-01</w:t>
      </w:r>
      <w:r>
        <w:rPr>
          <w:rFonts w:ascii="IBM Plex Sans" w:hAnsi="IBM Plex Sans" w:cs="IBM Plex Sans"/>
          <w:b/>
          <w:color w:val="0B0E11"/>
          <w:sz w:val="21"/>
        </w:rPr>
        <w:t xml:space="preserve">   Third-Party Risk Management Program Establishment</w:t>
      </w:r>
    </w:p>
    <w:p>
      <w:pPr/>
      <w:r>
        <w:t>The organization shall establish a formal Third-Party Risk Management (TPRM) program to assess, monitor, and mitigate risks associated with vendors, suppliers, contractors, and partners.</w:t>
      </w:r>
    </w:p>
    <w:p>
      <w:pPr>
        <w:keepNext/>
        <w:spacing w:before="180"/>
      </w:pPr>
      <w:r>
        <w:rPr>
          <w:rFonts w:ascii="IBM Plex Mono" w:hAnsi="IBM Plex Mono" w:cs="IBM Plex Mono"/>
          <w:b/>
          <w:color w:val="0E8E66"/>
          <w:sz w:val="19"/>
        </w:rPr>
        <w:t>TPR-02</w:t>
      </w:r>
      <w:r>
        <w:rPr>
          <w:rFonts w:ascii="IBM Plex Sans" w:hAnsi="IBM Plex Sans" w:cs="IBM Plex Sans"/>
          <w:b/>
          <w:color w:val="0B0E11"/>
          <w:sz w:val="21"/>
        </w:rPr>
        <w:t xml:space="preserve">   Third-Party Classification and Tiering</w:t>
      </w:r>
    </w:p>
    <w:p>
      <w:pPr/>
      <w:r>
        <w:t>The organization shall implement a classification and tiering methodology to categorize third parties based on their risk impact, access to sensitive data, and business criticality.</w:t>
      </w:r>
    </w:p>
    <w:p>
      <w:pPr>
        <w:keepNext/>
        <w:spacing w:before="180"/>
      </w:pPr>
      <w:r>
        <w:rPr>
          <w:rFonts w:ascii="IBM Plex Mono" w:hAnsi="IBM Plex Mono" w:cs="IBM Plex Mono"/>
          <w:b/>
          <w:color w:val="0E8E66"/>
          <w:sz w:val="19"/>
        </w:rPr>
        <w:t>TPR-03</w:t>
      </w:r>
      <w:r>
        <w:rPr>
          <w:rFonts w:ascii="IBM Plex Sans" w:hAnsi="IBM Plex Sans" w:cs="IBM Plex Sans"/>
          <w:b/>
          <w:color w:val="0B0E11"/>
          <w:sz w:val="21"/>
        </w:rPr>
        <w:t xml:space="preserve">   Due Diligence and Vendor Pre-Screening</w:t>
      </w:r>
    </w:p>
    <w:p>
      <w:pPr/>
      <w:r>
        <w:t>The organization shall conduct comprehensive due diligence before engaging third parties, including security assessments, financial stability reviews, regulatory compliance checks, and background verification.</w:t>
      </w:r>
    </w:p>
    <w:p>
      <w:pPr>
        <w:keepNext/>
        <w:spacing w:before="180"/>
      </w:pPr>
      <w:r>
        <w:rPr>
          <w:rFonts w:ascii="IBM Plex Mono" w:hAnsi="IBM Plex Mono" w:cs="IBM Plex Mono"/>
          <w:b/>
          <w:color w:val="0E8E66"/>
          <w:sz w:val="19"/>
        </w:rPr>
        <w:t>TPR-04</w:t>
      </w:r>
      <w:r>
        <w:rPr>
          <w:rFonts w:ascii="IBM Plex Sans" w:hAnsi="IBM Plex Sans" w:cs="IBM Plex Sans"/>
          <w:b/>
          <w:color w:val="0B0E11"/>
          <w:sz w:val="21"/>
        </w:rPr>
        <w:t xml:space="preserve">   Contractual Security and Compliance Requirements</w:t>
      </w:r>
    </w:p>
    <w:p>
      <w:pPr/>
      <w:r>
        <w:t>The organization shall require all third parties to adhere to security, compliance, and risk management standards through legally binding contracts, including service-level agreements (SLAs), data protection clauses, and audit rights.</w:t>
      </w:r>
    </w:p>
    <w:p>
      <w:pPr>
        <w:keepNext/>
        <w:spacing w:before="180"/>
      </w:pPr>
      <w:r>
        <w:rPr>
          <w:rFonts w:ascii="IBM Plex Mono" w:hAnsi="IBM Plex Mono" w:cs="IBM Plex Mono"/>
          <w:b/>
          <w:color w:val="0E8E66"/>
          <w:sz w:val="19"/>
        </w:rPr>
        <w:t>TPR-05</w:t>
      </w:r>
      <w:r>
        <w:rPr>
          <w:rFonts w:ascii="IBM Plex Sans" w:hAnsi="IBM Plex Sans" w:cs="IBM Plex Sans"/>
          <w:b/>
          <w:color w:val="0B0E11"/>
          <w:sz w:val="21"/>
        </w:rPr>
        <w:t xml:space="preserve">   Continuous Vendor Risk Monitoring</w:t>
      </w:r>
    </w:p>
    <w:p>
      <w:pPr/>
      <w:r>
        <w:t>The organization shall implement a process for continuously monitoring third-party security posture, compliance status, and operational risks throughout the vendor lifecycle.</w:t>
      </w:r>
    </w:p>
    <w:p>
      <w:pPr>
        <w:keepNext/>
        <w:spacing w:before="180"/>
      </w:pPr>
      <w:r>
        <w:rPr>
          <w:rFonts w:ascii="IBM Plex Mono" w:hAnsi="IBM Plex Mono" w:cs="IBM Plex Mono"/>
          <w:b/>
          <w:color w:val="0E8E66"/>
          <w:sz w:val="19"/>
        </w:rPr>
        <w:t>TPR-06</w:t>
      </w:r>
      <w:r>
        <w:rPr>
          <w:rFonts w:ascii="IBM Plex Sans" w:hAnsi="IBM Plex Sans" w:cs="IBM Plex Sans"/>
          <w:b/>
          <w:color w:val="0B0E11"/>
          <w:sz w:val="21"/>
        </w:rPr>
        <w:t xml:space="preserve">   Third-Party Access Control and Least Privilege Enforcement</w:t>
      </w:r>
    </w:p>
    <w:p>
      <w:pPr/>
      <w:r>
        <w:t>The organization shall enforce least privilege access controls for third parties, ensuring they only have access to systems, data, and assets necessary for their contractual obligations.</w:t>
      </w:r>
    </w:p>
    <w:p>
      <w:pPr>
        <w:keepNext/>
        <w:spacing w:before="180"/>
      </w:pPr>
      <w:r>
        <w:rPr>
          <w:rFonts w:ascii="IBM Plex Mono" w:hAnsi="IBM Plex Mono" w:cs="IBM Plex Mono"/>
          <w:b/>
          <w:color w:val="0E8E66"/>
          <w:sz w:val="19"/>
        </w:rPr>
        <w:t>TPR-07</w:t>
      </w:r>
      <w:r>
        <w:rPr>
          <w:rFonts w:ascii="IBM Plex Sans" w:hAnsi="IBM Plex Sans" w:cs="IBM Plex Sans"/>
          <w:b/>
          <w:color w:val="0B0E11"/>
          <w:sz w:val="21"/>
        </w:rPr>
        <w:t xml:space="preserve">   Vendor Security Assessments and Audits</w:t>
      </w:r>
    </w:p>
    <w:p>
      <w:pPr/>
      <w:r>
        <w:t>The organization shall conduct periodic security assessments and audits of high-risk third parties to validate compliance with security policies, industry regulations, and contractual obligations.</w:t>
      </w:r>
    </w:p>
    <w:p>
      <w:pPr>
        <w:keepNext/>
        <w:spacing w:before="180"/>
      </w:pPr>
      <w:r>
        <w:rPr>
          <w:rFonts w:ascii="IBM Plex Mono" w:hAnsi="IBM Plex Mono" w:cs="IBM Plex Mono"/>
          <w:b/>
          <w:color w:val="0E8E66"/>
          <w:sz w:val="19"/>
        </w:rPr>
        <w:t>TPR-08</w:t>
      </w:r>
      <w:r>
        <w:rPr>
          <w:rFonts w:ascii="IBM Plex Sans" w:hAnsi="IBM Plex Sans" w:cs="IBM Plex Sans"/>
          <w:b/>
          <w:color w:val="0B0E11"/>
          <w:sz w:val="21"/>
        </w:rPr>
        <w:t xml:space="preserve">   Incident Response and Notification Requirements for Third Parties</w:t>
      </w:r>
    </w:p>
    <w:p>
      <w:pPr/>
      <w:r>
        <w:t>The organization shall require third parties to have an incident response plan in place and promptly report security incidents, data breaches, or compliance violations affecting the organization.</w:t>
      </w:r>
    </w:p>
    <w:p>
      <w:pPr>
        <w:keepNext/>
        <w:spacing w:before="180"/>
      </w:pPr>
      <w:r>
        <w:rPr>
          <w:rFonts w:ascii="IBM Plex Mono" w:hAnsi="IBM Plex Mono" w:cs="IBM Plex Mono"/>
          <w:b/>
          <w:color w:val="0E8E66"/>
          <w:sz w:val="19"/>
        </w:rPr>
        <w:t>TPR-09</w:t>
      </w:r>
      <w:r>
        <w:rPr>
          <w:rFonts w:ascii="IBM Plex Sans" w:hAnsi="IBM Plex Sans" w:cs="IBM Plex Sans"/>
          <w:b/>
          <w:color w:val="0B0E11"/>
          <w:sz w:val="21"/>
        </w:rPr>
        <w:t xml:space="preserve">   Supply Chain Security and Risk Mitigation</w:t>
      </w:r>
    </w:p>
    <w:p>
      <w:pPr/>
      <w:r>
        <w:t>The organization shall evaluate and mitigate risks related to supply chain dependencies, including risks from fourth parties (subcontractors, downstream suppliers) and geopolitical factors.</w:t>
      </w:r>
    </w:p>
    <w:p>
      <w:pPr>
        <w:keepNext/>
        <w:spacing w:before="180"/>
      </w:pPr>
      <w:r>
        <w:rPr>
          <w:rFonts w:ascii="IBM Plex Mono" w:hAnsi="IBM Plex Mono" w:cs="IBM Plex Mono"/>
          <w:b/>
          <w:color w:val="0E8E66"/>
          <w:sz w:val="19"/>
        </w:rPr>
        <w:t>TPR-10</w:t>
      </w:r>
      <w:r>
        <w:rPr>
          <w:rFonts w:ascii="IBM Plex Sans" w:hAnsi="IBM Plex Sans" w:cs="IBM Plex Sans"/>
          <w:b/>
          <w:color w:val="0B0E11"/>
          <w:sz w:val="21"/>
        </w:rPr>
        <w:t xml:space="preserve">   Data Protection and Privacy Obligations for Third Parties</w:t>
      </w:r>
    </w:p>
    <w:p>
      <w:pPr/>
      <w:r>
        <w:t>The organization shall ensure that third parties handling sensitive data implement appropriate data protection, encryption, and privacy controls in accordance with legal and regulatory requirements.</w:t>
      </w:r>
    </w:p>
    <w:p>
      <w:pPr>
        <w:keepNext/>
        <w:spacing w:before="180"/>
      </w:pPr>
      <w:r>
        <w:rPr>
          <w:rFonts w:ascii="IBM Plex Mono" w:hAnsi="IBM Plex Mono" w:cs="IBM Plex Mono"/>
          <w:b/>
          <w:color w:val="0E8E66"/>
          <w:sz w:val="19"/>
        </w:rPr>
        <w:t>TPR-11</w:t>
      </w:r>
      <w:r>
        <w:rPr>
          <w:rFonts w:ascii="IBM Plex Sans" w:hAnsi="IBM Plex Sans" w:cs="IBM Plex Sans"/>
          <w:b/>
          <w:color w:val="0B0E11"/>
          <w:sz w:val="21"/>
        </w:rPr>
        <w:t xml:space="preserve">   Third-Party Risk Metrics and Reporting</w:t>
      </w:r>
    </w:p>
    <w:p>
      <w:pPr/>
      <w:r>
        <w:t>The organization shall define key risk indicators (KRIs) and performance metrics for third-party risk management, ensuring leadership visibility into vendor-related risks and trends.</w:t>
      </w:r>
    </w:p>
    <w:p>
      <w:pPr>
        <w:keepNext/>
        <w:spacing w:before="180"/>
      </w:pPr>
      <w:r>
        <w:rPr>
          <w:rFonts w:ascii="IBM Plex Mono" w:hAnsi="IBM Plex Mono" w:cs="IBM Plex Mono"/>
          <w:b/>
          <w:color w:val="0E8E66"/>
          <w:sz w:val="19"/>
        </w:rPr>
        <w:t>TPR-12</w:t>
      </w:r>
      <w:r>
        <w:rPr>
          <w:rFonts w:ascii="IBM Plex Sans" w:hAnsi="IBM Plex Sans" w:cs="IBM Plex Sans"/>
          <w:b/>
          <w:color w:val="0B0E11"/>
          <w:sz w:val="21"/>
        </w:rPr>
        <w:t xml:space="preserve">   Offboarding and Contract Termination Controls</w:t>
      </w:r>
    </w:p>
    <w:p>
      <w:pPr/>
      <w:r>
        <w:t>The organization shall implement a structured offboarding process for third parties, ensuring proper data sanitization, access revocation, and risk reassessment upon contract termination.</w:t>
      </w:r>
    </w:p>
    <w:p>
      <w:pPr>
        <w:keepNext/>
        <w:spacing w:before="180"/>
      </w:pPr>
      <w:r>
        <w:rPr>
          <w:rFonts w:ascii="IBM Plex Mono" w:hAnsi="IBM Plex Mono" w:cs="IBM Plex Mono"/>
          <w:b/>
          <w:color w:val="0E8E66"/>
          <w:sz w:val="19"/>
        </w:rPr>
        <w:t>TPR-13</w:t>
      </w:r>
      <w:r>
        <w:rPr>
          <w:rFonts w:ascii="IBM Plex Sans" w:hAnsi="IBM Plex Sans" w:cs="IBM Plex Sans"/>
          <w:b/>
          <w:color w:val="0B0E11"/>
          <w:sz w:val="21"/>
        </w:rPr>
        <w:t xml:space="preserve">   Critical Vendor Contingency Planning</w:t>
      </w:r>
    </w:p>
    <w:p>
      <w:pPr/>
      <w:r>
        <w:t>The organization shall require critical third parties to maintain business continuity and disaster recovery plans, ensuring resilience and service availability in the event of disruptions.</w:t>
      </w:r>
    </w:p>
    <w:p>
      <w:pPr>
        <w:keepNext/>
        <w:spacing w:before="180"/>
      </w:pPr>
      <w:r>
        <w:rPr>
          <w:rFonts w:ascii="IBM Plex Mono" w:hAnsi="IBM Plex Mono" w:cs="IBM Plex Mono"/>
          <w:b/>
          <w:color w:val="0E8E66"/>
          <w:sz w:val="19"/>
        </w:rPr>
        <w:t>TPR-14</w:t>
      </w:r>
      <w:r>
        <w:rPr>
          <w:rFonts w:ascii="IBM Plex Sans" w:hAnsi="IBM Plex Sans" w:cs="IBM Plex Sans"/>
          <w:b/>
          <w:color w:val="0B0E11"/>
          <w:sz w:val="21"/>
        </w:rPr>
        <w:t xml:space="preserve">   Cloud and Managed Service Provider Risk Management</w:t>
      </w:r>
    </w:p>
    <w:p>
      <w:pPr/>
      <w:r>
        <w:t>The organization shall assess and govern risks associated with cloud service providers (CSPs), managed security service providers (MSSPs), and other technology outsourcing vendors.</w:t>
      </w:r>
    </w:p>
    <w:p>
      <w:pPr>
        <w:keepNext/>
        <w:spacing w:before="180"/>
      </w:pPr>
      <w:r>
        <w:rPr>
          <w:rFonts w:ascii="IBM Plex Mono" w:hAnsi="IBM Plex Mono" w:cs="IBM Plex Mono"/>
          <w:b/>
          <w:color w:val="0E8E66"/>
          <w:sz w:val="19"/>
        </w:rPr>
        <w:t>TPR-15</w:t>
      </w:r>
      <w:r>
        <w:rPr>
          <w:rFonts w:ascii="IBM Plex Sans" w:hAnsi="IBM Plex Sans" w:cs="IBM Plex Sans"/>
          <w:b/>
          <w:color w:val="0B0E11"/>
          <w:sz w:val="21"/>
        </w:rPr>
        <w:t xml:space="preserve">   Third-Party Security Awareness and Training Requirements</w:t>
      </w:r>
    </w:p>
    <w:p>
      <w:pPr/>
      <w:r>
        <w:t>The organization shall mandate that third parties handling sensitive data or critical systems participate in security awareness and compliance training programs.</w:t>
      </w:r>
    </w:p>
    <w:p>
      <w:pPr>
        <w:keepNext/>
        <w:spacing w:before="180"/>
      </w:pPr>
      <w:r>
        <w:rPr>
          <w:rFonts w:ascii="IBM Plex Mono" w:hAnsi="IBM Plex Mono" w:cs="IBM Plex Mono"/>
          <w:b/>
          <w:color w:val="0E8E66"/>
          <w:sz w:val="19"/>
        </w:rPr>
        <w:t>TPR-16</w:t>
      </w:r>
      <w:r>
        <w:rPr>
          <w:rFonts w:ascii="IBM Plex Sans" w:hAnsi="IBM Plex Sans" w:cs="IBM Plex Sans"/>
          <w:b/>
          <w:color w:val="0B0E11"/>
          <w:sz w:val="21"/>
        </w:rPr>
        <w:t xml:space="preserve">   Vendor Risk Exception Handling</w:t>
      </w:r>
    </w:p>
    <w:p>
      <w:pPr/>
      <w:r>
        <w:t>The organization shall establish a formalized process for evaluating and approving risk exceptions for third parties, including documented justifications, risk assessments, and compensating controls.</w:t>
      </w:r>
    </w:p>
    <w:p>
      <w:pPr>
        <w:keepNext/>
        <w:spacing w:before="180"/>
      </w:pPr>
      <w:r>
        <w:rPr>
          <w:rFonts w:ascii="IBM Plex Mono" w:hAnsi="IBM Plex Mono" w:cs="IBM Plex Mono"/>
          <w:b/>
          <w:color w:val="0E8E66"/>
          <w:sz w:val="19"/>
        </w:rPr>
        <w:t>TPR-17</w:t>
      </w:r>
      <w:r>
        <w:rPr>
          <w:rFonts w:ascii="IBM Plex Sans" w:hAnsi="IBM Plex Sans" w:cs="IBM Plex Sans"/>
          <w:b/>
          <w:color w:val="0B0E11"/>
          <w:sz w:val="21"/>
        </w:rPr>
        <w:t xml:space="preserve">   Legal and Compliance Review of Third-Party Contracts</w:t>
      </w:r>
    </w:p>
    <w:p>
      <w:pPr/>
      <w:r>
        <w:t>The organization shall require legal and compliance teams to review third-party agreements to ensure risk, security, and regulatory obligations are properly addressed.</w:t>
      </w:r>
    </w:p>
    <w:p>
      <w:pPr>
        <w:keepNext/>
        <w:spacing w:before="180"/>
      </w:pPr>
      <w:r>
        <w:rPr>
          <w:rFonts w:ascii="IBM Plex Mono" w:hAnsi="IBM Plex Mono" w:cs="IBM Plex Mono"/>
          <w:b/>
          <w:color w:val="0E8E66"/>
          <w:sz w:val="19"/>
        </w:rPr>
        <w:t>TPR-18</w:t>
      </w:r>
      <w:r>
        <w:rPr>
          <w:rFonts w:ascii="IBM Plex Sans" w:hAnsi="IBM Plex Sans" w:cs="IBM Plex Sans"/>
          <w:b/>
          <w:color w:val="0B0E11"/>
          <w:sz w:val="21"/>
        </w:rPr>
        <w:t xml:space="preserve">   Secure Development and Code Review for Software Vendors</w:t>
      </w:r>
    </w:p>
    <w:p>
      <w:pPr/>
      <w:r>
        <w:t>The organization shall require third-party software vendors to adhere to secure coding practices, undergo code reviews, and provide a Software Bill of Materials (SBOM) where applicable.</w:t>
      </w:r>
    </w:p>
    <w:p>
      <w:pPr>
        <w:keepNext/>
        <w:spacing w:before="180"/>
      </w:pPr>
      <w:r>
        <w:rPr>
          <w:rFonts w:ascii="IBM Plex Mono" w:hAnsi="IBM Plex Mono" w:cs="IBM Plex Mono"/>
          <w:b/>
          <w:color w:val="0E8E66"/>
          <w:sz w:val="19"/>
        </w:rPr>
        <w:t>TPR-19</w:t>
      </w:r>
      <w:r>
        <w:rPr>
          <w:rFonts w:ascii="IBM Plex Sans" w:hAnsi="IBM Plex Sans" w:cs="IBM Plex Sans"/>
          <w:b/>
          <w:color w:val="0B0E11"/>
          <w:sz w:val="21"/>
        </w:rPr>
        <w:t xml:space="preserve">   Insider Threat Risk Mitigation for Third-Party Personnel</w:t>
      </w:r>
    </w:p>
    <w:p>
      <w:pPr/>
      <w:r>
        <w:t>The organization shall assess insider threat risks associated with third-party personnel, ensuring background checks, monitoring controls, and access reviews are in place.</w:t>
      </w:r>
    </w:p>
    <w:p>
      <w:pPr>
        <w:keepNext/>
        <w:spacing w:before="180"/>
      </w:pPr>
      <w:r>
        <w:rPr>
          <w:rFonts w:ascii="IBM Plex Mono" w:hAnsi="IBM Plex Mono" w:cs="IBM Plex Mono"/>
          <w:b/>
          <w:color w:val="0E8E66"/>
          <w:sz w:val="19"/>
        </w:rPr>
        <w:t>TPR-20</w:t>
      </w:r>
      <w:r>
        <w:rPr>
          <w:rFonts w:ascii="IBM Plex Sans" w:hAnsi="IBM Plex Sans" w:cs="IBM Plex Sans"/>
          <w:b/>
          <w:color w:val="0B0E11"/>
          <w:sz w:val="21"/>
        </w:rPr>
        <w:t xml:space="preserve">   Vendor Concentration and Systemic Dependency Risk</w:t>
      </w:r>
    </w:p>
    <w:p>
      <w:pPr/>
      <w:r>
        <w:t>The organization shall assess and manage concentration risk arising from over-reliance on individual third parties, or from multiple third parties sharing a common upstream dependency, to limit systemic exposure and single points of failure.</w:t>
      </w:r>
    </w:p>
    <w:p>
      <w:pPr>
        <w:pStyle w:val="Kicker"/>
      </w:pPr>
      <w:r>
        <w:t>// control family</w:t>
      </w:r>
    </w:p>
    <w:p>
      <w:pPr>
        <w:pStyle w:val="Heading2"/>
      </w:pPr>
      <w:r>
        <w:t>Security Policy &amp; Standards Development (SPS)</w:t>
      </w:r>
    </w:p>
    <w:p>
      <w:pPr/>
      <w:r>
        <w:t>The SPS control family ensures the organization establishes, maintains, and enforces security policies, standards, and guidelines that govern cybersecurity practices. It provides a structured approach to defining security expectations, aligning policies with regulatory requirements, and ensuring consistency in control implementation across the enterprise.</w:t>
      </w:r>
    </w:p>
    <w:p>
      <w:pPr>
        <w:keepNext/>
        <w:spacing w:before="180"/>
      </w:pPr>
      <w:r>
        <w:rPr>
          <w:rFonts w:ascii="IBM Plex Mono" w:hAnsi="IBM Plex Mono" w:cs="IBM Plex Mono"/>
          <w:b/>
          <w:color w:val="0E8E66"/>
          <w:sz w:val="19"/>
        </w:rPr>
        <w:t>SPS-01</w:t>
      </w:r>
      <w:r>
        <w:rPr>
          <w:rFonts w:ascii="IBM Plex Sans" w:hAnsi="IBM Plex Sans" w:cs="IBM Plex Sans"/>
          <w:b/>
          <w:color w:val="0B0E11"/>
          <w:sz w:val="21"/>
        </w:rPr>
        <w:t xml:space="preserve">   Security Policy Framework Development</w:t>
      </w:r>
    </w:p>
    <w:p>
      <w:pPr/>
      <w:r>
        <w:t>The organization shall establish a structured security policy framework that defines security objectives, principles, and mandatory requirements aligned with business needs and regulatory obligations.</w:t>
      </w:r>
    </w:p>
    <w:p>
      <w:pPr>
        <w:keepNext/>
        <w:spacing w:before="180"/>
      </w:pPr>
      <w:r>
        <w:rPr>
          <w:rFonts w:ascii="IBM Plex Mono" w:hAnsi="IBM Plex Mono" w:cs="IBM Plex Mono"/>
          <w:b/>
          <w:color w:val="0E8E66"/>
          <w:sz w:val="19"/>
        </w:rPr>
        <w:t>SPS-02</w:t>
      </w:r>
      <w:r>
        <w:rPr>
          <w:rFonts w:ascii="IBM Plex Sans" w:hAnsi="IBM Plex Sans" w:cs="IBM Plex Sans"/>
          <w:b/>
          <w:color w:val="0B0E11"/>
          <w:sz w:val="21"/>
        </w:rPr>
        <w:t xml:space="preserve">   Policy Governance and Ownership</w:t>
      </w:r>
    </w:p>
    <w:p>
      <w:pPr/>
      <w:r>
        <w:t>The organization shall assign ownership of security policies to designated personnel or committees, ensuring accountability for policy development, updates, and enforcement.</w:t>
      </w:r>
    </w:p>
    <w:p>
      <w:pPr>
        <w:keepNext/>
        <w:spacing w:before="180"/>
      </w:pPr>
      <w:r>
        <w:rPr>
          <w:rFonts w:ascii="IBM Plex Mono" w:hAnsi="IBM Plex Mono" w:cs="IBM Plex Mono"/>
          <w:b/>
          <w:color w:val="0E8E66"/>
          <w:sz w:val="19"/>
        </w:rPr>
        <w:t>SPS-03</w:t>
      </w:r>
      <w:r>
        <w:rPr>
          <w:rFonts w:ascii="IBM Plex Sans" w:hAnsi="IBM Plex Sans" w:cs="IBM Plex Sans"/>
          <w:b/>
          <w:color w:val="0B0E11"/>
          <w:sz w:val="21"/>
        </w:rPr>
        <w:t xml:space="preserve">   Policy Review and Approval Process</w:t>
      </w:r>
    </w:p>
    <w:p>
      <w:pPr/>
      <w:r>
        <w:t>The organization shall implement a formalized process for drafting, reviewing, approving, and disseminating security policies, ensuring alignment with risk management strategies and business priorities.</w:t>
      </w:r>
    </w:p>
    <w:p>
      <w:pPr>
        <w:keepNext/>
        <w:spacing w:before="180"/>
      </w:pPr>
      <w:r>
        <w:rPr>
          <w:rFonts w:ascii="IBM Plex Mono" w:hAnsi="IBM Plex Mono" w:cs="IBM Plex Mono"/>
          <w:b/>
          <w:color w:val="0E8E66"/>
          <w:sz w:val="19"/>
        </w:rPr>
        <w:t>SPS-04</w:t>
      </w:r>
      <w:r>
        <w:rPr>
          <w:rFonts w:ascii="IBM Plex Sans" w:hAnsi="IBM Plex Sans" w:cs="IBM Plex Sans"/>
          <w:b/>
          <w:color w:val="0B0E11"/>
          <w:sz w:val="21"/>
        </w:rPr>
        <w:t xml:space="preserve">   Standards and Baseline Development</w:t>
      </w:r>
    </w:p>
    <w:p>
      <w:pPr/>
      <w:r>
        <w:t>The organization shall develop security standards and baselines to support the enforcement of security policies, ensuring consistent implementation of security controls across all systems and environments.</w:t>
      </w:r>
    </w:p>
    <w:p>
      <w:pPr>
        <w:keepNext/>
        <w:spacing w:before="180"/>
      </w:pPr>
      <w:r>
        <w:rPr>
          <w:rFonts w:ascii="IBM Plex Mono" w:hAnsi="IBM Plex Mono" w:cs="IBM Plex Mono"/>
          <w:b/>
          <w:color w:val="0E8E66"/>
          <w:sz w:val="19"/>
        </w:rPr>
        <w:t>SPS-05</w:t>
      </w:r>
      <w:r>
        <w:rPr>
          <w:rFonts w:ascii="IBM Plex Sans" w:hAnsi="IBM Plex Sans" w:cs="IBM Plex Sans"/>
          <w:b/>
          <w:color w:val="0B0E11"/>
          <w:sz w:val="21"/>
        </w:rPr>
        <w:t xml:space="preserve">   Policy Harmonization and Regulatory Mapping</w:t>
      </w:r>
    </w:p>
    <w:p>
      <w:pPr/>
      <w:r>
        <w:t>The organization shall ensure that security policies align with applicable laws, regulations, industry frameworks, and contractual obligations through a structured mapping and harmonization process.</w:t>
      </w:r>
    </w:p>
    <w:p>
      <w:pPr>
        <w:keepNext/>
        <w:spacing w:before="180"/>
      </w:pPr>
      <w:r>
        <w:rPr>
          <w:rFonts w:ascii="IBM Plex Mono" w:hAnsi="IBM Plex Mono" w:cs="IBM Plex Mono"/>
          <w:b/>
          <w:color w:val="0E8E66"/>
          <w:sz w:val="19"/>
        </w:rPr>
        <w:t>SPS-06</w:t>
      </w:r>
      <w:r>
        <w:rPr>
          <w:rFonts w:ascii="IBM Plex Sans" w:hAnsi="IBM Plex Sans" w:cs="IBM Plex Sans"/>
          <w:b/>
          <w:color w:val="0B0E11"/>
          <w:sz w:val="21"/>
        </w:rPr>
        <w:t xml:space="preserve">   Security Policy Exceptions and Waiver Management</w:t>
      </w:r>
    </w:p>
    <w:p>
      <w:pPr/>
      <w:r>
        <w:t>The organization shall define a formal process for requesting, evaluating, and approving exceptions to security policies. Exceptions shall include risk assessments, documented compensating controls, and periodic reviews.</w:t>
      </w:r>
    </w:p>
    <w:p>
      <w:pPr>
        <w:keepNext/>
        <w:spacing w:before="180"/>
      </w:pPr>
      <w:r>
        <w:rPr>
          <w:rFonts w:ascii="IBM Plex Mono" w:hAnsi="IBM Plex Mono" w:cs="IBM Plex Mono"/>
          <w:b/>
          <w:color w:val="0E8E66"/>
          <w:sz w:val="19"/>
        </w:rPr>
        <w:t>SPS-07</w:t>
      </w:r>
      <w:r>
        <w:rPr>
          <w:rFonts w:ascii="IBM Plex Sans" w:hAnsi="IBM Plex Sans" w:cs="IBM Plex Sans"/>
          <w:b/>
          <w:color w:val="0B0E11"/>
          <w:sz w:val="21"/>
        </w:rPr>
        <w:t xml:space="preserve">   Policy Dissemination and Accessibility</w:t>
      </w:r>
    </w:p>
    <w:p>
      <w:pPr/>
      <w:r>
        <w:t>The organization shall ensure that security policies and standards are easily accessible to all relevant personnel through centralized documentation repositories, training programs, and internal communication channels.</w:t>
      </w:r>
    </w:p>
    <w:p>
      <w:pPr>
        <w:keepNext/>
        <w:spacing w:before="180"/>
      </w:pPr>
      <w:r>
        <w:rPr>
          <w:rFonts w:ascii="IBM Plex Mono" w:hAnsi="IBM Plex Mono" w:cs="IBM Plex Mono"/>
          <w:b/>
          <w:color w:val="0E8E66"/>
          <w:sz w:val="19"/>
        </w:rPr>
        <w:t>SPS-08</w:t>
      </w:r>
      <w:r>
        <w:rPr>
          <w:rFonts w:ascii="IBM Plex Sans" w:hAnsi="IBM Plex Sans" w:cs="IBM Plex Sans"/>
          <w:b/>
          <w:color w:val="0B0E11"/>
          <w:sz w:val="21"/>
        </w:rPr>
        <w:t xml:space="preserve">   Security Policy Change Management</w:t>
      </w:r>
    </w:p>
    <w:p>
      <w:pPr/>
      <w:r>
        <w:t>The organization shall implement a change management process for security policies, ensuring that updates are assessed for impact, communicated effectively, and implemented in a controlled manner.</w:t>
      </w:r>
    </w:p>
    <w:p>
      <w:pPr>
        <w:keepNext/>
        <w:spacing w:before="180"/>
      </w:pPr>
      <w:r>
        <w:rPr>
          <w:rFonts w:ascii="IBM Plex Mono" w:hAnsi="IBM Plex Mono" w:cs="IBM Plex Mono"/>
          <w:b/>
          <w:color w:val="0E8E66"/>
          <w:sz w:val="19"/>
        </w:rPr>
        <w:t>SPS-09</w:t>
      </w:r>
      <w:r>
        <w:rPr>
          <w:rFonts w:ascii="IBM Plex Sans" w:hAnsi="IBM Plex Sans" w:cs="IBM Plex Sans"/>
          <w:b/>
          <w:color w:val="0B0E11"/>
          <w:sz w:val="21"/>
        </w:rPr>
        <w:t xml:space="preserve">   Policy Awareness and Enforcement Mechanisms</w:t>
      </w:r>
    </w:p>
    <w:p>
      <w:pPr/>
      <w:r>
        <w:t>The organization shall establish mechanisms to ensure personnel acknowledge security policies and understand their enforcement, including mandatory attestation and disciplinary actions for non-compliance.</w:t>
      </w:r>
    </w:p>
    <w:p>
      <w:pPr>
        <w:keepNext/>
        <w:spacing w:before="180"/>
      </w:pPr>
      <w:r>
        <w:rPr>
          <w:rFonts w:ascii="IBM Plex Mono" w:hAnsi="IBM Plex Mono" w:cs="IBM Plex Mono"/>
          <w:b/>
          <w:color w:val="0E8E66"/>
          <w:sz w:val="19"/>
        </w:rPr>
        <w:t>SPS-10</w:t>
      </w:r>
      <w:r>
        <w:rPr>
          <w:rFonts w:ascii="IBM Plex Sans" w:hAnsi="IBM Plex Sans" w:cs="IBM Plex Sans"/>
          <w:b/>
          <w:color w:val="0B0E11"/>
          <w:sz w:val="21"/>
        </w:rPr>
        <w:t xml:space="preserve">   Technical Standards for Security Control Implementation</w:t>
      </w:r>
    </w:p>
    <w:p>
      <w:pPr/>
      <w:r>
        <w:t>The organization shall define technical security standards that prescribe minimum security configurations, hardening guidelines, and control implementations for infrastructure, applications, and cloud environments.</w:t>
      </w:r>
    </w:p>
    <w:p>
      <w:pPr>
        <w:keepNext/>
        <w:spacing w:before="180"/>
      </w:pPr>
      <w:r>
        <w:rPr>
          <w:rFonts w:ascii="IBM Plex Mono" w:hAnsi="IBM Plex Mono" w:cs="IBM Plex Mono"/>
          <w:b/>
          <w:color w:val="0E8E66"/>
          <w:sz w:val="19"/>
        </w:rPr>
        <w:t>SPS-11</w:t>
      </w:r>
      <w:r>
        <w:rPr>
          <w:rFonts w:ascii="IBM Plex Sans" w:hAnsi="IBM Plex Sans" w:cs="IBM Plex Sans"/>
          <w:b/>
          <w:color w:val="0B0E11"/>
          <w:sz w:val="21"/>
        </w:rPr>
        <w:t xml:space="preserve">   Secure Configuration Management Standards</w:t>
      </w:r>
    </w:p>
    <w:p>
      <w:pPr/>
      <w:r>
        <w:t>The organization shall establish and maintain secure configuration standards for operating systems, network devices, databases, and applications to minimize security vulnerabilities.</w:t>
      </w:r>
    </w:p>
    <w:p>
      <w:pPr>
        <w:keepNext/>
        <w:spacing w:before="180"/>
      </w:pPr>
      <w:r>
        <w:rPr>
          <w:rFonts w:ascii="IBM Plex Mono" w:hAnsi="IBM Plex Mono" w:cs="IBM Plex Mono"/>
          <w:b/>
          <w:color w:val="0E8E66"/>
          <w:sz w:val="19"/>
        </w:rPr>
        <w:t>SPS-12</w:t>
      </w:r>
      <w:r>
        <w:rPr>
          <w:rFonts w:ascii="IBM Plex Sans" w:hAnsi="IBM Plex Sans" w:cs="IBM Plex Sans"/>
          <w:b/>
          <w:color w:val="0B0E11"/>
          <w:sz w:val="21"/>
        </w:rPr>
        <w:t xml:space="preserve">   Policy Integration into IT and Business Processes</w:t>
      </w:r>
    </w:p>
    <w:p>
      <w:pPr/>
      <w:r>
        <w:t>The organization shall integrate security policies and standards into IT management, software development, procurement, and operational business processes to ensure security by design.</w:t>
      </w:r>
    </w:p>
    <w:p>
      <w:pPr>
        <w:keepNext/>
        <w:spacing w:before="180"/>
      </w:pPr>
      <w:r>
        <w:rPr>
          <w:rFonts w:ascii="IBM Plex Mono" w:hAnsi="IBM Plex Mono" w:cs="IBM Plex Mono"/>
          <w:b/>
          <w:color w:val="0E8E66"/>
          <w:sz w:val="19"/>
        </w:rPr>
        <w:t>SPS-13</w:t>
      </w:r>
      <w:r>
        <w:rPr>
          <w:rFonts w:ascii="IBM Plex Sans" w:hAnsi="IBM Plex Sans" w:cs="IBM Plex Sans"/>
          <w:b/>
          <w:color w:val="0B0E11"/>
          <w:sz w:val="21"/>
        </w:rPr>
        <w:t xml:space="preserve">   Policy Enforcement and Compliance Audits</w:t>
      </w:r>
    </w:p>
    <w:p>
      <w:pPr/>
      <w:r>
        <w:t>The organization shall conduct periodic compliance audits to validate adherence to security policies and standards, identify policy violations, and implement corrective actions.</w:t>
      </w:r>
    </w:p>
    <w:p>
      <w:pPr>
        <w:keepNext/>
        <w:spacing w:before="180"/>
      </w:pPr>
      <w:r>
        <w:rPr>
          <w:rFonts w:ascii="IBM Plex Mono" w:hAnsi="IBM Plex Mono" w:cs="IBM Plex Mono"/>
          <w:b/>
          <w:color w:val="0E8E66"/>
          <w:sz w:val="19"/>
        </w:rPr>
        <w:t>SPS-14</w:t>
      </w:r>
      <w:r>
        <w:rPr>
          <w:rFonts w:ascii="IBM Plex Sans" w:hAnsi="IBM Plex Sans" w:cs="IBM Plex Sans"/>
          <w:b/>
          <w:color w:val="0B0E11"/>
          <w:sz w:val="21"/>
        </w:rPr>
        <w:t xml:space="preserve">   Security Guidelines for Emerging Technologies</w:t>
      </w:r>
    </w:p>
    <w:p>
      <w:pPr/>
      <w:r>
        <w:t>The organization shall develop and update security policies and guidelines addressing emerging technologies such as cloud computing, AI/ML, quantum security, and IoT.</w:t>
      </w:r>
    </w:p>
    <w:p>
      <w:pPr>
        <w:keepNext/>
        <w:spacing w:before="180"/>
      </w:pPr>
      <w:r>
        <w:rPr>
          <w:rFonts w:ascii="IBM Plex Mono" w:hAnsi="IBM Plex Mono" w:cs="IBM Plex Mono"/>
          <w:b/>
          <w:color w:val="0E8E66"/>
          <w:sz w:val="19"/>
        </w:rPr>
        <w:t>SPS-15</w:t>
      </w:r>
      <w:r>
        <w:rPr>
          <w:rFonts w:ascii="IBM Plex Sans" w:hAnsi="IBM Plex Sans" w:cs="IBM Plex Sans"/>
          <w:b/>
          <w:color w:val="0B0E11"/>
          <w:sz w:val="21"/>
        </w:rPr>
        <w:t xml:space="preserve">   Secure Data Handling and Classification Standards</w:t>
      </w:r>
    </w:p>
    <w:p>
      <w:pPr/>
      <w:r>
        <w:t>The organization shall define data classification standards and security policies governing the handling, storage, transmission, and disposal of sensitive and regulated data.</w:t>
      </w:r>
    </w:p>
    <w:p>
      <w:pPr>
        <w:keepNext/>
        <w:spacing w:before="180"/>
      </w:pPr>
      <w:r>
        <w:rPr>
          <w:rFonts w:ascii="IBM Plex Mono" w:hAnsi="IBM Plex Mono" w:cs="IBM Plex Mono"/>
          <w:b/>
          <w:color w:val="0E8E66"/>
          <w:sz w:val="19"/>
        </w:rPr>
        <w:t>SPS-16</w:t>
      </w:r>
      <w:r>
        <w:rPr>
          <w:rFonts w:ascii="IBM Plex Sans" w:hAnsi="IBM Plex Sans" w:cs="IBM Plex Sans"/>
          <w:b/>
          <w:color w:val="0B0E11"/>
          <w:sz w:val="21"/>
        </w:rPr>
        <w:t xml:space="preserve">   Cryptographic Standards and Key Management Policies</w:t>
      </w:r>
    </w:p>
    <w:p>
      <w:pPr/>
      <w:r>
        <w:t>The organization shall establish cryptographic standards, including encryption protocols, hashing algorithms, and key management policies, ensuring compliance with industry best practices.</w:t>
      </w:r>
    </w:p>
    <w:p>
      <w:pPr>
        <w:keepNext/>
        <w:spacing w:before="180"/>
      </w:pPr>
      <w:r>
        <w:rPr>
          <w:rFonts w:ascii="IBM Plex Mono" w:hAnsi="IBM Plex Mono" w:cs="IBM Plex Mono"/>
          <w:b/>
          <w:color w:val="0E8E66"/>
          <w:sz w:val="19"/>
        </w:rPr>
        <w:t>SPS-17</w:t>
      </w:r>
      <w:r>
        <w:rPr>
          <w:rFonts w:ascii="IBM Plex Sans" w:hAnsi="IBM Plex Sans" w:cs="IBM Plex Sans"/>
          <w:b/>
          <w:color w:val="0B0E11"/>
          <w:sz w:val="21"/>
        </w:rPr>
        <w:t xml:space="preserve">   Access and Identity Management Policy Development</w:t>
      </w:r>
    </w:p>
    <w:p>
      <w:pPr/>
      <w:r>
        <w:t>The organization shall develop policies governing identity lifecycle management, authentication, authorization, privileged access, and account review requirements.</w:t>
      </w:r>
    </w:p>
    <w:p>
      <w:pPr>
        <w:keepNext/>
        <w:spacing w:before="180"/>
      </w:pPr>
      <w:r>
        <w:rPr>
          <w:rFonts w:ascii="IBM Plex Mono" w:hAnsi="IBM Plex Mono" w:cs="IBM Plex Mono"/>
          <w:b/>
          <w:color w:val="0E8E66"/>
          <w:sz w:val="19"/>
        </w:rPr>
        <w:t>SPS-18</w:t>
      </w:r>
      <w:r>
        <w:rPr>
          <w:rFonts w:ascii="IBM Plex Sans" w:hAnsi="IBM Plex Sans" w:cs="IBM Plex Sans"/>
          <w:b/>
          <w:color w:val="0B0E11"/>
          <w:sz w:val="21"/>
        </w:rPr>
        <w:t xml:space="preserve">   Endpoint and Mobile Security Policy Development</w:t>
      </w:r>
    </w:p>
    <w:p>
      <w:pPr/>
      <w:r>
        <w:t>The organization shall define security policies governing endpoint devices, mobile device management (MDM), remote work security, and acceptable use of corporate assets.</w:t>
      </w:r>
    </w:p>
    <w:p>
      <w:pPr>
        <w:keepNext/>
        <w:spacing w:before="180"/>
      </w:pPr>
      <w:r>
        <w:rPr>
          <w:rFonts w:ascii="IBM Plex Mono" w:hAnsi="IBM Plex Mono" w:cs="IBM Plex Mono"/>
          <w:b/>
          <w:color w:val="0E8E66"/>
          <w:sz w:val="19"/>
        </w:rPr>
        <w:t>SPS-19</w:t>
      </w:r>
      <w:r>
        <w:rPr>
          <w:rFonts w:ascii="IBM Plex Sans" w:hAnsi="IBM Plex Sans" w:cs="IBM Plex Sans"/>
          <w:b/>
          <w:color w:val="0B0E11"/>
          <w:sz w:val="21"/>
        </w:rPr>
        <w:t xml:space="preserve">   Security Policy Metrics and Performance Evaluation</w:t>
      </w:r>
    </w:p>
    <w:p>
      <w:pPr/>
      <w:r>
        <w:t>The organization shall establish metrics to evaluate the effectiveness of security policies, track policy compliance, and support continuous improvement efforts.</w:t>
      </w:r>
    </w:p>
    <w:p>
      <w:pPr>
        <w:keepNext/>
        <w:spacing w:before="180"/>
      </w:pPr>
      <w:r>
        <w:rPr>
          <w:rFonts w:ascii="IBM Plex Mono" w:hAnsi="IBM Plex Mono" w:cs="IBM Plex Mono"/>
          <w:b/>
          <w:color w:val="0E8E66"/>
          <w:sz w:val="19"/>
        </w:rPr>
        <w:t>SPS-20</w:t>
      </w:r>
      <w:r>
        <w:rPr>
          <w:rFonts w:ascii="IBM Plex Sans" w:hAnsi="IBM Plex Sans" w:cs="IBM Plex Sans"/>
          <w:b/>
          <w:color w:val="0B0E11"/>
          <w:sz w:val="21"/>
        </w:rPr>
        <w:t xml:space="preserve">   Vendor and Third-Party Security Policy Requirements</w:t>
      </w:r>
    </w:p>
    <w:p>
      <w:pPr/>
      <w:r>
        <w:t>The organization shall develop security policy requirements that third-party vendors, suppliers, and service providers must adhere to, ensuring alignment with enterprise security standards.</w:t>
      </w:r>
    </w:p>
    <w:p>
      <w:pPr>
        <w:pStyle w:val="Kicker"/>
      </w:pPr>
      <w:r>
        <w:t>// control family</w:t>
      </w:r>
    </w:p>
    <w:p>
      <w:pPr>
        <w:pStyle w:val="Heading2"/>
      </w:pPr>
      <w:r>
        <w:t>Business Continuity &amp; Disaster Recovery (BCM)</w:t>
      </w:r>
    </w:p>
    <w:p>
      <w:pPr/>
      <w:r>
        <w:t>The BCM control family ensures the organization can maintain critical operations and recover from disruptive events, including cyber incidents, natural disasters, and system failures. It establishes business continuity planning, disaster recovery strategies, and resilience measures to minimize operational downtime and financial loss.</w:t>
      </w:r>
    </w:p>
    <w:p>
      <w:pPr>
        <w:keepNext/>
        <w:spacing w:before="180"/>
      </w:pPr>
      <w:r>
        <w:rPr>
          <w:rFonts w:ascii="IBM Plex Mono" w:hAnsi="IBM Plex Mono" w:cs="IBM Plex Mono"/>
          <w:b/>
          <w:color w:val="0E8E66"/>
          <w:sz w:val="19"/>
        </w:rPr>
        <w:t>BCM-01</w:t>
      </w:r>
      <w:r>
        <w:rPr>
          <w:rFonts w:ascii="IBM Plex Sans" w:hAnsi="IBM Plex Sans" w:cs="IBM Plex Sans"/>
          <w:b/>
          <w:color w:val="0B0E11"/>
          <w:sz w:val="21"/>
        </w:rPr>
        <w:t xml:space="preserve">   Business Continuity Management Program Establishment</w:t>
      </w:r>
    </w:p>
    <w:p>
      <w:pPr/>
      <w:r>
        <w:t>The organization shall establish and maintain a Business Continuity Management (BCM) program that ensures operational resilience, continuity of critical services, and effective disaster recovery planning.</w:t>
      </w:r>
    </w:p>
    <w:p>
      <w:pPr>
        <w:keepNext/>
        <w:spacing w:before="180"/>
      </w:pPr>
      <w:r>
        <w:rPr>
          <w:rFonts w:ascii="IBM Plex Mono" w:hAnsi="IBM Plex Mono" w:cs="IBM Plex Mono"/>
          <w:b/>
          <w:color w:val="0E8E66"/>
          <w:sz w:val="19"/>
        </w:rPr>
        <w:t>BCM-02</w:t>
      </w:r>
      <w:r>
        <w:rPr>
          <w:rFonts w:ascii="IBM Plex Sans" w:hAnsi="IBM Plex Sans" w:cs="IBM Plex Sans"/>
          <w:b/>
          <w:color w:val="0B0E11"/>
          <w:sz w:val="21"/>
        </w:rPr>
        <w:t xml:space="preserve">   Business Impact Analysis (BIA) Execution</w:t>
      </w:r>
    </w:p>
    <w:p>
      <w:pPr/>
      <w:r>
        <w:t>The organization shall conduct and regularly update a Business Impact Analysis (BIA) to identify mission-critical processes, assess potential disruptions, and define Recovery Time Objectives (RTOs) and Recovery Point Objectives (RPOs).</w:t>
      </w:r>
    </w:p>
    <w:p>
      <w:pPr>
        <w:keepNext/>
        <w:spacing w:before="180"/>
      </w:pPr>
      <w:r>
        <w:rPr>
          <w:rFonts w:ascii="IBM Plex Mono" w:hAnsi="IBM Plex Mono" w:cs="IBM Plex Mono"/>
          <w:b/>
          <w:color w:val="0E8E66"/>
          <w:sz w:val="19"/>
        </w:rPr>
        <w:t>BCM-03</w:t>
      </w:r>
      <w:r>
        <w:rPr>
          <w:rFonts w:ascii="IBM Plex Sans" w:hAnsi="IBM Plex Sans" w:cs="IBM Plex Sans"/>
          <w:b/>
          <w:color w:val="0B0E11"/>
          <w:sz w:val="21"/>
        </w:rPr>
        <w:t xml:space="preserve">   Risk Assessment for Business Disruptions</w:t>
      </w:r>
    </w:p>
    <w:p>
      <w:pPr/>
      <w:r>
        <w:t>The organization shall perform risk assessments to identify threats that could impact business operations, including natural disasters, cyber incidents, supply chain disruptions, and geopolitical risks.</w:t>
      </w:r>
    </w:p>
    <w:p>
      <w:pPr>
        <w:keepNext/>
        <w:spacing w:before="180"/>
      </w:pPr>
      <w:r>
        <w:rPr>
          <w:rFonts w:ascii="IBM Plex Mono" w:hAnsi="IBM Plex Mono" w:cs="IBM Plex Mono"/>
          <w:b/>
          <w:color w:val="0E8E66"/>
          <w:sz w:val="19"/>
        </w:rPr>
        <w:t>BCM-04</w:t>
      </w:r>
      <w:r>
        <w:rPr>
          <w:rFonts w:ascii="IBM Plex Sans" w:hAnsi="IBM Plex Sans" w:cs="IBM Plex Sans"/>
          <w:b/>
          <w:color w:val="0B0E11"/>
          <w:sz w:val="21"/>
        </w:rPr>
        <w:t xml:space="preserve">   Business Continuity Plan (BCP) Development</w:t>
      </w:r>
    </w:p>
    <w:p>
      <w:pPr/>
      <w:r>
        <w:t>The organization shall develop, document, and maintain a Business Continuity Plan (BCP) that outlines strategies, procedures, and resources required to sustain critical business functions during a disruption.</w:t>
      </w:r>
    </w:p>
    <w:p>
      <w:pPr>
        <w:keepNext/>
        <w:spacing w:before="180"/>
      </w:pPr>
      <w:r>
        <w:rPr>
          <w:rFonts w:ascii="IBM Plex Mono" w:hAnsi="IBM Plex Mono" w:cs="IBM Plex Mono"/>
          <w:b/>
          <w:color w:val="0E8E66"/>
          <w:sz w:val="19"/>
        </w:rPr>
        <w:t>BCM-05</w:t>
      </w:r>
      <w:r>
        <w:rPr>
          <w:rFonts w:ascii="IBM Plex Sans" w:hAnsi="IBM Plex Sans" w:cs="IBM Plex Sans"/>
          <w:b/>
          <w:color w:val="0B0E11"/>
          <w:sz w:val="21"/>
        </w:rPr>
        <w:t xml:space="preserve">   Disaster Recovery Plan (DRP) Development</w:t>
      </w:r>
    </w:p>
    <w:p>
      <w:pPr/>
      <w:r>
        <w:t>The organization shall establish a Disaster Recovery Plan (DRP) that includes technical recovery procedures for IT systems, networks, applications, and data to ensure timely restoration following an incident.</w:t>
      </w:r>
    </w:p>
    <w:p>
      <w:pPr>
        <w:keepNext/>
        <w:spacing w:before="180"/>
      </w:pPr>
      <w:r>
        <w:rPr>
          <w:rFonts w:ascii="IBM Plex Mono" w:hAnsi="IBM Plex Mono" w:cs="IBM Plex Mono"/>
          <w:b/>
          <w:color w:val="0E8E66"/>
          <w:sz w:val="19"/>
        </w:rPr>
        <w:t>BCM-06</w:t>
      </w:r>
      <w:r>
        <w:rPr>
          <w:rFonts w:ascii="IBM Plex Sans" w:hAnsi="IBM Plex Sans" w:cs="IBM Plex Sans"/>
          <w:b/>
          <w:color w:val="0B0E11"/>
          <w:sz w:val="21"/>
        </w:rPr>
        <w:t xml:space="preserve">   Incident Escalation and Crisis Management Protocols</w:t>
      </w:r>
    </w:p>
    <w:p>
      <w:pPr/>
      <w:r>
        <w:t>The organization shall define and implement escalation procedures for business disruptions, including crisis communication strategies, decision-making hierarchies, and emergency response coordination.</w:t>
      </w:r>
    </w:p>
    <w:p>
      <w:pPr>
        <w:keepNext/>
        <w:spacing w:before="180"/>
      </w:pPr>
      <w:r>
        <w:rPr>
          <w:rFonts w:ascii="IBM Plex Mono" w:hAnsi="IBM Plex Mono" w:cs="IBM Plex Mono"/>
          <w:b/>
          <w:color w:val="0E8E66"/>
          <w:sz w:val="19"/>
        </w:rPr>
        <w:t>BCM-07</w:t>
      </w:r>
      <w:r>
        <w:rPr>
          <w:rFonts w:ascii="IBM Plex Sans" w:hAnsi="IBM Plex Sans" w:cs="IBM Plex Sans"/>
          <w:b/>
          <w:color w:val="0B0E11"/>
          <w:sz w:val="21"/>
        </w:rPr>
        <w:t xml:space="preserve">   Redundancy and High Availability Requirements</w:t>
      </w:r>
    </w:p>
    <w:p>
      <w:pPr/>
      <w:r>
        <w:t>The organization shall implement redundancy and high-availability measures for critical infrastructure, applications, and data to minimize service disruptions and ensure continuous operations.</w:t>
      </w:r>
    </w:p>
    <w:p>
      <w:pPr>
        <w:keepNext/>
        <w:spacing w:before="180"/>
      </w:pPr>
      <w:r>
        <w:rPr>
          <w:rFonts w:ascii="IBM Plex Mono" w:hAnsi="IBM Plex Mono" w:cs="IBM Plex Mono"/>
          <w:b/>
          <w:color w:val="0E8E66"/>
          <w:sz w:val="19"/>
        </w:rPr>
        <w:t>BCM-08</w:t>
      </w:r>
      <w:r>
        <w:rPr>
          <w:rFonts w:ascii="IBM Plex Sans" w:hAnsi="IBM Plex Sans" w:cs="IBM Plex Sans"/>
          <w:b/>
          <w:color w:val="0B0E11"/>
          <w:sz w:val="21"/>
        </w:rPr>
        <w:t xml:space="preserve">   Backup and Data Recovery Procedures</w:t>
      </w:r>
    </w:p>
    <w:p>
      <w:pPr/>
      <w:r>
        <w:t>The organization shall establish backup policies and data recovery procedures that ensure regular, secure, and tested backups of critical business data, applications, and configurations.</w:t>
      </w:r>
    </w:p>
    <w:p>
      <w:pPr>
        <w:keepNext/>
        <w:spacing w:before="180"/>
      </w:pPr>
      <w:r>
        <w:rPr>
          <w:rFonts w:ascii="IBM Plex Mono" w:hAnsi="IBM Plex Mono" w:cs="IBM Plex Mono"/>
          <w:b/>
          <w:color w:val="0E8E66"/>
          <w:sz w:val="19"/>
        </w:rPr>
        <w:t>BCM-09</w:t>
      </w:r>
      <w:r>
        <w:rPr>
          <w:rFonts w:ascii="IBM Plex Sans" w:hAnsi="IBM Plex Sans" w:cs="IBM Plex Sans"/>
          <w:b/>
          <w:color w:val="0B0E11"/>
          <w:sz w:val="21"/>
        </w:rPr>
        <w:t xml:space="preserve">   Alternate Site and Work Location Strategies</w:t>
      </w:r>
    </w:p>
    <w:p>
      <w:pPr/>
      <w:r>
        <w:t>The organization shall define and maintain alternate site strategies, including data center failover, remote work enablement, and offsite operational continuity solutions.</w:t>
      </w:r>
    </w:p>
    <w:p>
      <w:pPr>
        <w:keepNext/>
        <w:spacing w:before="180"/>
      </w:pPr>
      <w:r>
        <w:rPr>
          <w:rFonts w:ascii="IBM Plex Mono" w:hAnsi="IBM Plex Mono" w:cs="IBM Plex Mono"/>
          <w:b/>
          <w:color w:val="0E8E66"/>
          <w:sz w:val="19"/>
        </w:rPr>
        <w:t>BCM-10</w:t>
      </w:r>
      <w:r>
        <w:rPr>
          <w:rFonts w:ascii="IBM Plex Sans" w:hAnsi="IBM Plex Sans" w:cs="IBM Plex Sans"/>
          <w:b/>
          <w:color w:val="0B0E11"/>
          <w:sz w:val="21"/>
        </w:rPr>
        <w:t xml:space="preserve">   Business Continuity and Disaster Recovery Testing</w:t>
      </w:r>
    </w:p>
    <w:p>
      <w:pPr/>
      <w:r>
        <w:t>The organization shall conduct regular testing of BCP and DRP plans, including tabletop exercises, full-scale simulations, and failover drills to validate effectiveness and identify gaps.</w:t>
      </w:r>
    </w:p>
    <w:p>
      <w:pPr>
        <w:keepNext/>
        <w:spacing w:before="180"/>
      </w:pPr>
      <w:r>
        <w:rPr>
          <w:rFonts w:ascii="IBM Plex Mono" w:hAnsi="IBM Plex Mono" w:cs="IBM Plex Mono"/>
          <w:b/>
          <w:color w:val="0E8E66"/>
          <w:sz w:val="19"/>
        </w:rPr>
        <w:t>BCM-11</w:t>
      </w:r>
      <w:r>
        <w:rPr>
          <w:rFonts w:ascii="IBM Plex Sans" w:hAnsi="IBM Plex Sans" w:cs="IBM Plex Sans"/>
          <w:b/>
          <w:color w:val="0B0E11"/>
          <w:sz w:val="21"/>
        </w:rPr>
        <w:t xml:space="preserve">   Supply Chain and Vendor Continuity Planning</w:t>
      </w:r>
    </w:p>
    <w:p>
      <w:pPr/>
      <w:r>
        <w:t>The organization shall ensure that key vendors and suppliers maintain business continuity plans, disaster recovery capabilities, and contractual obligations to support operational resilience.</w:t>
      </w:r>
    </w:p>
    <w:p>
      <w:pPr>
        <w:keepNext/>
        <w:spacing w:before="180"/>
      </w:pPr>
      <w:r>
        <w:rPr>
          <w:rFonts w:ascii="IBM Plex Mono" w:hAnsi="IBM Plex Mono" w:cs="IBM Plex Mono"/>
          <w:b/>
          <w:color w:val="0E8E66"/>
          <w:sz w:val="19"/>
        </w:rPr>
        <w:t>BCM-12</w:t>
      </w:r>
      <w:r>
        <w:rPr>
          <w:rFonts w:ascii="IBM Plex Sans" w:hAnsi="IBM Plex Sans" w:cs="IBM Plex Sans"/>
          <w:b/>
          <w:color w:val="0B0E11"/>
          <w:sz w:val="21"/>
        </w:rPr>
        <w:t xml:space="preserve">   Employee Training and Awareness on Continuity Planning</w:t>
      </w:r>
    </w:p>
    <w:p>
      <w:pPr/>
      <w:r>
        <w:t>The organization shall provide business continuity and disaster recovery training to employees, ensuring personnel understand roles, responsibilities, and response procedures during disruptions.</w:t>
      </w:r>
    </w:p>
    <w:p>
      <w:pPr>
        <w:keepNext/>
        <w:spacing w:before="180"/>
      </w:pPr>
      <w:r>
        <w:rPr>
          <w:rFonts w:ascii="IBM Plex Mono" w:hAnsi="IBM Plex Mono" w:cs="IBM Plex Mono"/>
          <w:b/>
          <w:color w:val="0E8E66"/>
          <w:sz w:val="19"/>
        </w:rPr>
        <w:t>BCM-13</w:t>
      </w:r>
      <w:r>
        <w:rPr>
          <w:rFonts w:ascii="IBM Plex Sans" w:hAnsi="IBM Plex Sans" w:cs="IBM Plex Sans"/>
          <w:b/>
          <w:color w:val="0B0E11"/>
          <w:sz w:val="21"/>
        </w:rPr>
        <w:t xml:space="preserve">   Emergency Communications and Notification Systems</w:t>
      </w:r>
    </w:p>
    <w:p>
      <w:pPr/>
      <w:r>
        <w:t>The organization shall establish and maintain an emergency communication plan, ensuring stakeholders receive timely and accurate information regarding disruptions, recovery status, and contingency actions.</w:t>
      </w:r>
    </w:p>
    <w:p>
      <w:pPr>
        <w:keepNext/>
        <w:spacing w:before="180"/>
      </w:pPr>
      <w:r>
        <w:rPr>
          <w:rFonts w:ascii="IBM Plex Mono" w:hAnsi="IBM Plex Mono" w:cs="IBM Plex Mono"/>
          <w:b/>
          <w:color w:val="0E8E66"/>
          <w:sz w:val="19"/>
        </w:rPr>
        <w:t>BCM-14</w:t>
      </w:r>
      <w:r>
        <w:rPr>
          <w:rFonts w:ascii="IBM Plex Sans" w:hAnsi="IBM Plex Sans" w:cs="IBM Plex Sans"/>
          <w:b/>
          <w:color w:val="0B0E11"/>
          <w:sz w:val="21"/>
        </w:rPr>
        <w:t xml:space="preserve">   Legal, Regulatory, and Compliance Considerations in Continuity Planning</w:t>
      </w:r>
    </w:p>
    <w:p>
      <w:pPr/>
      <w:r>
        <w:t>The organization shall ensure BCP and DRP activities comply with relevant legal, regulatory, and contractual requirements, including industry-specific continuity and resilience mandates.</w:t>
      </w:r>
    </w:p>
    <w:p>
      <w:pPr>
        <w:keepNext/>
        <w:spacing w:before="180"/>
      </w:pPr>
      <w:r>
        <w:rPr>
          <w:rFonts w:ascii="IBM Plex Mono" w:hAnsi="IBM Plex Mono" w:cs="IBM Plex Mono"/>
          <w:b/>
          <w:color w:val="0E8E66"/>
          <w:sz w:val="19"/>
        </w:rPr>
        <w:t>BCM-15</w:t>
      </w:r>
      <w:r>
        <w:rPr>
          <w:rFonts w:ascii="IBM Plex Sans" w:hAnsi="IBM Plex Sans" w:cs="IBM Plex Sans"/>
          <w:b/>
          <w:color w:val="0B0E11"/>
          <w:sz w:val="21"/>
        </w:rPr>
        <w:t xml:space="preserve">   Remote Work and Telecommuting Resilience</w:t>
      </w:r>
    </w:p>
    <w:p>
      <w:pPr/>
      <w:r>
        <w:t>The organization shall develop policies and technological capabilities to support remote work continuity, ensuring secure access, collaboration, and operational functionality during disruptions.</w:t>
      </w:r>
    </w:p>
    <w:p>
      <w:pPr>
        <w:keepNext/>
        <w:spacing w:before="180"/>
      </w:pPr>
      <w:r>
        <w:rPr>
          <w:rFonts w:ascii="IBM Plex Mono" w:hAnsi="IBM Plex Mono" w:cs="IBM Plex Mono"/>
          <w:b/>
          <w:color w:val="0E8E66"/>
          <w:sz w:val="19"/>
        </w:rPr>
        <w:t>BCM-16</w:t>
      </w:r>
      <w:r>
        <w:rPr>
          <w:rFonts w:ascii="IBM Plex Sans" w:hAnsi="IBM Plex Sans" w:cs="IBM Plex Sans"/>
          <w:b/>
          <w:color w:val="0B0E11"/>
          <w:sz w:val="21"/>
        </w:rPr>
        <w:t xml:space="preserve">   Resilience Metrics and Performance Monitoring</w:t>
      </w:r>
    </w:p>
    <w:p>
      <w:pPr/>
      <w:r>
        <w:t>The organization shall define key performance indicators (KPIs) and resilience metrics to measure the effectiveness of business continuity and disaster recovery strategies.</w:t>
      </w:r>
    </w:p>
    <w:p>
      <w:pPr>
        <w:keepNext/>
        <w:spacing w:before="180"/>
      </w:pPr>
      <w:r>
        <w:rPr>
          <w:rFonts w:ascii="IBM Plex Mono" w:hAnsi="IBM Plex Mono" w:cs="IBM Plex Mono"/>
          <w:b/>
          <w:color w:val="0E8E66"/>
          <w:sz w:val="19"/>
        </w:rPr>
        <w:t>BCM-17</w:t>
      </w:r>
      <w:r>
        <w:rPr>
          <w:rFonts w:ascii="IBM Plex Sans" w:hAnsi="IBM Plex Sans" w:cs="IBM Plex Sans"/>
          <w:b/>
          <w:color w:val="0B0E11"/>
          <w:sz w:val="21"/>
        </w:rPr>
        <w:t xml:space="preserve">   Financial Resilience and Contingency Planning</w:t>
      </w:r>
    </w:p>
    <w:p>
      <w:pPr/>
      <w:r>
        <w:t>The organization shall develop financial contingency plans, including liquidity reserves, insurance coverage, and alternative funding strategies to sustain operations during prolonged disruptions.</w:t>
      </w:r>
    </w:p>
    <w:p>
      <w:pPr>
        <w:keepNext/>
        <w:spacing w:before="180"/>
      </w:pPr>
      <w:r>
        <w:rPr>
          <w:rFonts w:ascii="IBM Plex Mono" w:hAnsi="IBM Plex Mono" w:cs="IBM Plex Mono"/>
          <w:b/>
          <w:color w:val="0E8E66"/>
          <w:sz w:val="19"/>
        </w:rPr>
        <w:t>BCM-18</w:t>
      </w:r>
      <w:r>
        <w:rPr>
          <w:rFonts w:ascii="IBM Plex Sans" w:hAnsi="IBM Plex Sans" w:cs="IBM Plex Sans"/>
          <w:b/>
          <w:color w:val="0B0E11"/>
          <w:sz w:val="21"/>
        </w:rPr>
        <w:t xml:space="preserve">   Cyber Resilience Integration into Business Continuity</w:t>
      </w:r>
    </w:p>
    <w:p>
      <w:pPr/>
      <w:r>
        <w:t>The organization shall incorporate cybersecurity incident scenarios into business continuity planning, ensuring preparedness for ransomware attacks, data breaches, and denial-of-service (DoS) events.</w:t>
      </w:r>
    </w:p>
    <w:p>
      <w:pPr>
        <w:keepNext/>
        <w:spacing w:before="180"/>
      </w:pPr>
      <w:r>
        <w:rPr>
          <w:rFonts w:ascii="IBM Plex Mono" w:hAnsi="IBM Plex Mono" w:cs="IBM Plex Mono"/>
          <w:b/>
          <w:color w:val="0E8E66"/>
          <w:sz w:val="19"/>
        </w:rPr>
        <w:t>BCM-19</w:t>
      </w:r>
      <w:r>
        <w:rPr>
          <w:rFonts w:ascii="IBM Plex Sans" w:hAnsi="IBM Plex Sans" w:cs="IBM Plex Sans"/>
          <w:b/>
          <w:color w:val="0B0E11"/>
          <w:sz w:val="21"/>
        </w:rPr>
        <w:t xml:space="preserve">   Post-Incident Review and Continuous Improvement</w:t>
      </w:r>
    </w:p>
    <w:p>
      <w:pPr/>
      <w:r>
        <w:t>The organization shall conduct post-incident reviews following disruptions, identifying lessons learned, process improvements, and remediation actions to enhance future resilience.</w:t>
      </w:r>
    </w:p>
    <w:p>
      <w:pPr>
        <w:keepNext/>
        <w:spacing w:before="180"/>
      </w:pPr>
      <w:r>
        <w:rPr>
          <w:rFonts w:ascii="IBM Plex Mono" w:hAnsi="IBM Plex Mono" w:cs="IBM Plex Mono"/>
          <w:b/>
          <w:color w:val="0E8E66"/>
          <w:sz w:val="19"/>
        </w:rPr>
        <w:t>BCM-20</w:t>
      </w:r>
      <w:r>
        <w:rPr>
          <w:rFonts w:ascii="IBM Plex Sans" w:hAnsi="IBM Plex Sans" w:cs="IBM Plex Sans"/>
          <w:b/>
          <w:color w:val="0B0E11"/>
          <w:sz w:val="21"/>
        </w:rPr>
        <w:t xml:space="preserve">   Executive and Board-Level Oversight of Business Continuity</w:t>
      </w:r>
    </w:p>
    <w:p>
      <w:pPr/>
      <w:r>
        <w:t>The organization shall ensure that business continuity and disaster recovery programs receive executive and board-level oversight, with periodic reporting on program effectiveness and strategic risks.</w:t>
      </w:r>
    </w:p>
    <w:p>
      <w:pPr>
        <w:pStyle w:val="Kicker"/>
      </w:pPr>
      <w:r>
        <w:t>// control family</w:t>
      </w:r>
    </w:p>
    <w:p>
      <w:pPr>
        <w:pStyle w:val="Heading2"/>
      </w:pPr>
      <w:r>
        <w:t>Cybersecurity Awareness &amp; Training (CAT)</w:t>
      </w:r>
    </w:p>
    <w:p>
      <w:pPr/>
      <w:r>
        <w:t>The CAT control family fosters a security-conscious culture by equipping employees, contractors, and stakeholders with the knowledge and skills to identify and respond to security threats. It ensures that personnel receive role-specific security training, reinforcing best practices and reducing human-related security risks across the organization.</w:t>
      </w:r>
    </w:p>
    <w:p>
      <w:pPr>
        <w:keepNext/>
        <w:spacing w:before="180"/>
      </w:pPr>
      <w:r>
        <w:rPr>
          <w:rFonts w:ascii="IBM Plex Mono" w:hAnsi="IBM Plex Mono" w:cs="IBM Plex Mono"/>
          <w:b/>
          <w:color w:val="0E8E66"/>
          <w:sz w:val="19"/>
        </w:rPr>
        <w:t>CAT-01</w:t>
      </w:r>
      <w:r>
        <w:rPr>
          <w:rFonts w:ascii="IBM Plex Sans" w:hAnsi="IBM Plex Sans" w:cs="IBM Plex Sans"/>
          <w:b/>
          <w:color w:val="0B0E11"/>
          <w:sz w:val="21"/>
        </w:rPr>
        <w:t xml:space="preserve">   Cybersecurity Awareness Program Establishment</w:t>
      </w:r>
    </w:p>
    <w:p>
      <w:pPr/>
      <w:r>
        <w:t>The organization shall develop and maintain a cybersecurity awareness program that educates employees, contractors, and stakeholders on security risks, best practices, and compliance obligations.</w:t>
      </w:r>
    </w:p>
    <w:p>
      <w:pPr>
        <w:keepNext/>
        <w:spacing w:before="180"/>
      </w:pPr>
      <w:r>
        <w:rPr>
          <w:rFonts w:ascii="IBM Plex Mono" w:hAnsi="IBM Plex Mono" w:cs="IBM Plex Mono"/>
          <w:b/>
          <w:color w:val="0E8E66"/>
          <w:sz w:val="19"/>
        </w:rPr>
        <w:t>CAT-02</w:t>
      </w:r>
      <w:r>
        <w:rPr>
          <w:rFonts w:ascii="IBM Plex Sans" w:hAnsi="IBM Plex Sans" w:cs="IBM Plex Sans"/>
          <w:b/>
          <w:color w:val="0B0E11"/>
          <w:sz w:val="21"/>
        </w:rPr>
        <w:t xml:space="preserve">   Role-Based Security Training</w:t>
      </w:r>
    </w:p>
    <w:p>
      <w:pPr/>
      <w:r>
        <w:t>The organization shall implement tailored cybersecurity training based on roles and responsibilities, ensuring personnel in high-risk roles (e.g., IT administrators, executives, developers) receive specialized security education.</w:t>
      </w:r>
    </w:p>
    <w:p>
      <w:pPr>
        <w:keepNext/>
        <w:spacing w:before="180"/>
      </w:pPr>
      <w:r>
        <w:rPr>
          <w:rFonts w:ascii="IBM Plex Mono" w:hAnsi="IBM Plex Mono" w:cs="IBM Plex Mono"/>
          <w:b/>
          <w:color w:val="0E8E66"/>
          <w:sz w:val="19"/>
        </w:rPr>
        <w:t>CAT-03</w:t>
      </w:r>
      <w:r>
        <w:rPr>
          <w:rFonts w:ascii="IBM Plex Sans" w:hAnsi="IBM Plex Sans" w:cs="IBM Plex Sans"/>
          <w:b/>
          <w:color w:val="0B0E11"/>
          <w:sz w:val="21"/>
        </w:rPr>
        <w:t xml:space="preserve">   Phishing and Social Engineering Awareness Training</w:t>
      </w:r>
    </w:p>
    <w:p>
      <w:pPr/>
      <w:r>
        <w:t>The organization shall conduct periodic phishing simulations and social engineering awareness training to educate employees on recognizing and reporting fraudulent activities.</w:t>
      </w:r>
    </w:p>
    <w:p>
      <w:pPr>
        <w:keepNext/>
        <w:spacing w:before="180"/>
      </w:pPr>
      <w:r>
        <w:rPr>
          <w:rFonts w:ascii="IBM Plex Mono" w:hAnsi="IBM Plex Mono" w:cs="IBM Plex Mono"/>
          <w:b/>
          <w:color w:val="0E8E66"/>
          <w:sz w:val="19"/>
        </w:rPr>
        <w:t>CAT-04</w:t>
      </w:r>
      <w:r>
        <w:rPr>
          <w:rFonts w:ascii="IBM Plex Sans" w:hAnsi="IBM Plex Sans" w:cs="IBM Plex Sans"/>
          <w:b/>
          <w:color w:val="0B0E11"/>
          <w:sz w:val="21"/>
        </w:rPr>
        <w:t xml:space="preserve">   Secure Behavior Reinforcement Mechanisms</w:t>
      </w:r>
    </w:p>
    <w:p>
      <w:pPr/>
      <w:r>
        <w:t>The organization shall implement reinforcement mechanisms such as periodic security reminders, gamification, reward systems, and mandatory refresher training to sustain secure behavior.</w:t>
      </w:r>
    </w:p>
    <w:p>
      <w:pPr>
        <w:keepNext/>
        <w:spacing w:before="180"/>
      </w:pPr>
      <w:r>
        <w:rPr>
          <w:rFonts w:ascii="IBM Plex Mono" w:hAnsi="IBM Plex Mono" w:cs="IBM Plex Mono"/>
          <w:b/>
          <w:color w:val="0E8E66"/>
          <w:sz w:val="19"/>
        </w:rPr>
        <w:t>CAT-05</w:t>
      </w:r>
      <w:r>
        <w:rPr>
          <w:rFonts w:ascii="IBM Plex Sans" w:hAnsi="IBM Plex Sans" w:cs="IBM Plex Sans"/>
          <w:b/>
          <w:color w:val="0B0E11"/>
          <w:sz w:val="21"/>
        </w:rPr>
        <w:t xml:space="preserve">   Secure Coding and Development Training</w:t>
      </w:r>
    </w:p>
    <w:p>
      <w:pPr/>
      <w:r>
        <w:t>The organization shall require developers and software engineers to complete secure coding training aligned with industry standards (e.g., OWASP, NIST) to mitigate vulnerabilities in applications.</w:t>
      </w:r>
    </w:p>
    <w:p>
      <w:pPr>
        <w:keepNext/>
        <w:spacing w:before="180"/>
      </w:pPr>
      <w:r>
        <w:rPr>
          <w:rFonts w:ascii="IBM Plex Mono" w:hAnsi="IBM Plex Mono" w:cs="IBM Plex Mono"/>
          <w:b/>
          <w:color w:val="0E8E66"/>
          <w:sz w:val="19"/>
        </w:rPr>
        <w:t>CAT-06</w:t>
      </w:r>
      <w:r>
        <w:rPr>
          <w:rFonts w:ascii="IBM Plex Sans" w:hAnsi="IBM Plex Sans" w:cs="IBM Plex Sans"/>
          <w:b/>
          <w:color w:val="0B0E11"/>
          <w:sz w:val="21"/>
        </w:rPr>
        <w:t xml:space="preserve">   Cyber Hygiene and Endpoint Security Training</w:t>
      </w:r>
    </w:p>
    <w:p>
      <w:pPr/>
      <w:r>
        <w:t>The organization shall train personnel on fundamental cyber hygiene practices, including password management, device security, software updates, and safe browsing habits.</w:t>
      </w:r>
    </w:p>
    <w:p>
      <w:pPr>
        <w:keepNext/>
        <w:spacing w:before="180"/>
      </w:pPr>
      <w:r>
        <w:rPr>
          <w:rFonts w:ascii="IBM Plex Mono" w:hAnsi="IBM Plex Mono" w:cs="IBM Plex Mono"/>
          <w:b/>
          <w:color w:val="0E8E66"/>
          <w:sz w:val="19"/>
        </w:rPr>
        <w:t>CAT-07</w:t>
      </w:r>
      <w:r>
        <w:rPr>
          <w:rFonts w:ascii="IBM Plex Sans" w:hAnsi="IBM Plex Sans" w:cs="IBM Plex Sans"/>
          <w:b/>
          <w:color w:val="0B0E11"/>
          <w:sz w:val="21"/>
        </w:rPr>
        <w:t xml:space="preserve">   Security Awareness for Executives and Leadership</w:t>
      </w:r>
    </w:p>
    <w:p>
      <w:pPr/>
      <w:r>
        <w:t>The organization shall provide cybersecurity awareness sessions for executives and board members, focusing on strategic risks, compliance requirements, and governance responsibilities.</w:t>
      </w:r>
    </w:p>
    <w:p>
      <w:pPr>
        <w:keepNext/>
        <w:spacing w:before="180"/>
      </w:pPr>
      <w:r>
        <w:rPr>
          <w:rFonts w:ascii="IBM Plex Mono" w:hAnsi="IBM Plex Mono" w:cs="IBM Plex Mono"/>
          <w:b/>
          <w:color w:val="0E8E66"/>
          <w:sz w:val="19"/>
        </w:rPr>
        <w:t>CAT-08</w:t>
      </w:r>
      <w:r>
        <w:rPr>
          <w:rFonts w:ascii="IBM Plex Sans" w:hAnsi="IBM Plex Sans" w:cs="IBM Plex Sans"/>
          <w:b/>
          <w:color w:val="0B0E11"/>
          <w:sz w:val="21"/>
        </w:rPr>
        <w:t xml:space="preserve">   Incident Response and Reporting Training</w:t>
      </w:r>
    </w:p>
    <w:p>
      <w:pPr/>
      <w:r>
        <w:t>The organization shall train employees on identifying security incidents and following established reporting procedures to ensure timely response and containment of threats.</w:t>
      </w:r>
    </w:p>
    <w:p>
      <w:pPr>
        <w:keepNext/>
        <w:spacing w:before="180"/>
      </w:pPr>
      <w:r>
        <w:rPr>
          <w:rFonts w:ascii="IBM Plex Mono" w:hAnsi="IBM Plex Mono" w:cs="IBM Plex Mono"/>
          <w:b/>
          <w:color w:val="0E8E66"/>
          <w:sz w:val="19"/>
        </w:rPr>
        <w:t>CAT-09</w:t>
      </w:r>
      <w:r>
        <w:rPr>
          <w:rFonts w:ascii="IBM Plex Sans" w:hAnsi="IBM Plex Sans" w:cs="IBM Plex Sans"/>
          <w:b/>
          <w:color w:val="0B0E11"/>
          <w:sz w:val="21"/>
        </w:rPr>
        <w:t xml:space="preserve">   Compliance and Regulatory Security Training</w:t>
      </w:r>
    </w:p>
    <w:p>
      <w:pPr/>
      <w:r>
        <w:t>The organization shall provide training on compliance obligations relevant to the workforce, including data protection laws, industry standards, and organizational security policies.</w:t>
      </w:r>
    </w:p>
    <w:p>
      <w:pPr>
        <w:keepNext/>
        <w:spacing w:before="180"/>
      </w:pPr>
      <w:r>
        <w:rPr>
          <w:rFonts w:ascii="IBM Plex Mono" w:hAnsi="IBM Plex Mono" w:cs="IBM Plex Mono"/>
          <w:b/>
          <w:color w:val="0E8E66"/>
          <w:sz w:val="19"/>
        </w:rPr>
        <w:t>CAT-10</w:t>
      </w:r>
      <w:r>
        <w:rPr>
          <w:rFonts w:ascii="IBM Plex Sans" w:hAnsi="IBM Plex Sans" w:cs="IBM Plex Sans"/>
          <w:b/>
          <w:color w:val="0B0E11"/>
          <w:sz w:val="21"/>
        </w:rPr>
        <w:t xml:space="preserve">   Third-Party and Vendor Security Awareness</w:t>
      </w:r>
    </w:p>
    <w:p>
      <w:pPr/>
      <w:r>
        <w:t>The organization shall extend security awareness training requirements to third-party vendors, contractors, and partners handling sensitive data or accessing critical systems.</w:t>
      </w:r>
    </w:p>
    <w:p>
      <w:pPr>
        <w:keepNext/>
        <w:spacing w:before="180"/>
      </w:pPr>
      <w:r>
        <w:rPr>
          <w:rFonts w:ascii="IBM Plex Mono" w:hAnsi="IBM Plex Mono" w:cs="IBM Plex Mono"/>
          <w:b/>
          <w:color w:val="0E8E66"/>
          <w:sz w:val="19"/>
        </w:rPr>
        <w:t>CAT-11</w:t>
      </w:r>
      <w:r>
        <w:rPr>
          <w:rFonts w:ascii="IBM Plex Sans" w:hAnsi="IBM Plex Sans" w:cs="IBM Plex Sans"/>
          <w:b/>
          <w:color w:val="0B0E11"/>
          <w:sz w:val="21"/>
        </w:rPr>
        <w:t xml:space="preserve">   Secure Remote Work and BYOD Training</w:t>
      </w:r>
    </w:p>
    <w:p>
      <w:pPr/>
      <w:r>
        <w:t>The organization shall provide security awareness training for employees working remotely or using personal devices (BYOD), covering topics such as VPN usage, endpoint security, and data protection.</w:t>
      </w:r>
    </w:p>
    <w:p>
      <w:pPr>
        <w:keepNext/>
        <w:spacing w:before="180"/>
      </w:pPr>
      <w:r>
        <w:rPr>
          <w:rFonts w:ascii="IBM Plex Mono" w:hAnsi="IBM Plex Mono" w:cs="IBM Plex Mono"/>
          <w:b/>
          <w:color w:val="0E8E66"/>
          <w:sz w:val="19"/>
        </w:rPr>
        <w:t>CAT-12</w:t>
      </w:r>
      <w:r>
        <w:rPr>
          <w:rFonts w:ascii="IBM Plex Sans" w:hAnsi="IBM Plex Sans" w:cs="IBM Plex Sans"/>
          <w:b/>
          <w:color w:val="0B0E11"/>
          <w:sz w:val="21"/>
        </w:rPr>
        <w:t xml:space="preserve">   Insider Threat Awareness Training</w:t>
      </w:r>
    </w:p>
    <w:p>
      <w:pPr/>
      <w:r>
        <w:t>The organization shall educate employees on identifying insider threat indicators, emphasizing the importance of reporting suspicious behavior and safeguarding sensitive information.</w:t>
      </w:r>
    </w:p>
    <w:p>
      <w:pPr>
        <w:keepNext/>
        <w:spacing w:before="180"/>
      </w:pPr>
      <w:r>
        <w:rPr>
          <w:rFonts w:ascii="IBM Plex Mono" w:hAnsi="IBM Plex Mono" w:cs="IBM Plex Mono"/>
          <w:b/>
          <w:color w:val="0E8E66"/>
          <w:sz w:val="19"/>
        </w:rPr>
        <w:t>CAT-13</w:t>
      </w:r>
      <w:r>
        <w:rPr>
          <w:rFonts w:ascii="IBM Plex Sans" w:hAnsi="IBM Plex Sans" w:cs="IBM Plex Sans"/>
          <w:b/>
          <w:color w:val="0B0E11"/>
          <w:sz w:val="21"/>
        </w:rPr>
        <w:t xml:space="preserve">   Cybersecurity Training for Non-Technical Employees</w:t>
      </w:r>
    </w:p>
    <w:p>
      <w:pPr/>
      <w:r>
        <w:t>The organization shall offer cybersecurity awareness training for non-technical employees, ensuring all personnel understand their role in protecting corporate assets and data.</w:t>
      </w:r>
    </w:p>
    <w:p>
      <w:pPr>
        <w:keepNext/>
        <w:spacing w:before="180"/>
      </w:pPr>
      <w:r>
        <w:rPr>
          <w:rFonts w:ascii="IBM Plex Mono" w:hAnsi="IBM Plex Mono" w:cs="IBM Plex Mono"/>
          <w:b/>
          <w:color w:val="0E8E66"/>
          <w:sz w:val="19"/>
        </w:rPr>
        <w:t>CAT-14</w:t>
      </w:r>
      <w:r>
        <w:rPr>
          <w:rFonts w:ascii="IBM Plex Sans" w:hAnsi="IBM Plex Sans" w:cs="IBM Plex Sans"/>
          <w:b/>
          <w:color w:val="0B0E11"/>
          <w:sz w:val="21"/>
        </w:rPr>
        <w:t xml:space="preserve">   Threat Landscape and Emerging Risk Education</w:t>
      </w:r>
    </w:p>
    <w:p>
      <w:pPr/>
      <w:r>
        <w:t>The organization shall periodically update training content to reflect evolving cybersecurity threats, attack techniques, and risk trends relevant to the organization’s industry.</w:t>
      </w:r>
    </w:p>
    <w:p>
      <w:pPr>
        <w:keepNext/>
        <w:spacing w:before="180"/>
      </w:pPr>
      <w:r>
        <w:rPr>
          <w:rFonts w:ascii="IBM Plex Mono" w:hAnsi="IBM Plex Mono" w:cs="IBM Plex Mono"/>
          <w:b/>
          <w:color w:val="0E8E66"/>
          <w:sz w:val="19"/>
        </w:rPr>
        <w:t>CAT-15</w:t>
      </w:r>
      <w:r>
        <w:rPr>
          <w:rFonts w:ascii="IBM Plex Sans" w:hAnsi="IBM Plex Sans" w:cs="IBM Plex Sans"/>
          <w:b/>
          <w:color w:val="0B0E11"/>
          <w:sz w:val="21"/>
        </w:rPr>
        <w:t xml:space="preserve">   Security Awareness Metrics and Performance Tracking</w:t>
      </w:r>
    </w:p>
    <w:p>
      <w:pPr/>
      <w:r>
        <w:t>The organization shall measure the effectiveness of cybersecurity awareness programs through testing, assessments, participation rates, and behavior analysis to improve training content.</w:t>
      </w:r>
    </w:p>
    <w:p>
      <w:pPr>
        <w:keepNext/>
        <w:spacing w:before="180"/>
      </w:pPr>
      <w:r>
        <w:rPr>
          <w:rFonts w:ascii="IBM Plex Mono" w:hAnsi="IBM Plex Mono" w:cs="IBM Plex Mono"/>
          <w:b/>
          <w:color w:val="0E8E66"/>
          <w:sz w:val="19"/>
        </w:rPr>
        <w:t>CAT-16</w:t>
      </w:r>
      <w:r>
        <w:rPr>
          <w:rFonts w:ascii="IBM Plex Sans" w:hAnsi="IBM Plex Sans" w:cs="IBM Plex Sans"/>
          <w:b/>
          <w:color w:val="0B0E11"/>
          <w:sz w:val="21"/>
        </w:rPr>
        <w:t xml:space="preserve">   Security Awareness Integration into Onboarding</w:t>
      </w:r>
    </w:p>
    <w:p>
      <w:pPr/>
      <w:r>
        <w:t>The organization shall incorporate cybersecurity awareness training into the new hire onboarding process, ensuring employees understand security policies and best practices from day one.</w:t>
      </w:r>
    </w:p>
    <w:p>
      <w:pPr>
        <w:keepNext/>
        <w:spacing w:before="180"/>
      </w:pPr>
      <w:r>
        <w:rPr>
          <w:rFonts w:ascii="IBM Plex Mono" w:hAnsi="IBM Plex Mono" w:cs="IBM Plex Mono"/>
          <w:b/>
          <w:color w:val="0E8E66"/>
          <w:sz w:val="19"/>
        </w:rPr>
        <w:t>CAT-17</w:t>
      </w:r>
      <w:r>
        <w:rPr>
          <w:rFonts w:ascii="IBM Plex Sans" w:hAnsi="IBM Plex Sans" w:cs="IBM Plex Sans"/>
          <w:b/>
          <w:color w:val="0B0E11"/>
          <w:sz w:val="21"/>
        </w:rPr>
        <w:t xml:space="preserve">   Crisis Simulation and Tabletop Exercises</w:t>
      </w:r>
    </w:p>
    <w:p>
      <w:pPr/>
      <w:r>
        <w:t>The organization shall conduct cybersecurity tabletop exercises and crisis simulations for leadership, security teams, and business units to enhance incident response preparedness.</w:t>
      </w:r>
    </w:p>
    <w:p>
      <w:pPr>
        <w:keepNext/>
        <w:spacing w:before="180"/>
      </w:pPr>
      <w:r>
        <w:rPr>
          <w:rFonts w:ascii="IBM Plex Mono" w:hAnsi="IBM Plex Mono" w:cs="IBM Plex Mono"/>
          <w:b/>
          <w:color w:val="0E8E66"/>
          <w:sz w:val="19"/>
        </w:rPr>
        <w:t>CAT-18</w:t>
      </w:r>
      <w:r>
        <w:rPr>
          <w:rFonts w:ascii="IBM Plex Sans" w:hAnsi="IBM Plex Sans" w:cs="IBM Plex Sans"/>
          <w:b/>
          <w:color w:val="0B0E11"/>
          <w:sz w:val="21"/>
        </w:rPr>
        <w:t xml:space="preserve">   Public-Facing Cybersecurity Awareness Initiatives</w:t>
      </w:r>
    </w:p>
    <w:p>
      <w:pPr/>
      <w:r>
        <w:t>The organization shall engage in public cybersecurity awareness efforts, such as community outreach, customer security education, and partnerships with industry groups to promote cybersecurity best practices.</w:t>
      </w:r>
    </w:p>
    <w:p>
      <w:pPr>
        <w:keepNext/>
        <w:spacing w:before="180"/>
      </w:pPr>
      <w:r>
        <w:rPr>
          <w:rFonts w:ascii="IBM Plex Mono" w:hAnsi="IBM Plex Mono" w:cs="IBM Plex Mono"/>
          <w:b/>
          <w:color w:val="0E8E66"/>
          <w:sz w:val="19"/>
        </w:rPr>
        <w:t>CAT-19</w:t>
      </w:r>
      <w:r>
        <w:rPr>
          <w:rFonts w:ascii="IBM Plex Sans" w:hAnsi="IBM Plex Sans" w:cs="IBM Plex Sans"/>
          <w:b/>
          <w:color w:val="0B0E11"/>
          <w:sz w:val="21"/>
        </w:rPr>
        <w:t xml:space="preserve">   Cybersecurity Awareness Policy and Accountability</w:t>
      </w:r>
    </w:p>
    <w:p>
      <w:pPr/>
      <w:r>
        <w:t>The organization shall define a policy requiring mandatory security training participation, with accountability measures for non-compliance, including potential disciplinary actions.</w:t>
      </w:r>
    </w:p>
    <w:p>
      <w:pPr>
        <w:keepNext/>
        <w:spacing w:before="180"/>
      </w:pPr>
      <w:r>
        <w:rPr>
          <w:rFonts w:ascii="IBM Plex Mono" w:hAnsi="IBM Plex Mono" w:cs="IBM Plex Mono"/>
          <w:b/>
          <w:color w:val="0E8E66"/>
          <w:sz w:val="19"/>
        </w:rPr>
        <w:t>CAT-20</w:t>
      </w:r>
      <w:r>
        <w:rPr>
          <w:rFonts w:ascii="IBM Plex Sans" w:hAnsi="IBM Plex Sans" w:cs="IBM Plex Sans"/>
          <w:b/>
          <w:color w:val="0B0E11"/>
          <w:sz w:val="21"/>
        </w:rPr>
        <w:t xml:space="preserve">   Continuous Learning and Advanced Security Training</w:t>
      </w:r>
    </w:p>
    <w:p>
      <w:pPr/>
      <w:r>
        <w:t>The organization shall offer continuous learning opportunities, including access to cybersecurity certifications, industry conferences, and advanced security workshops for personnel seeking to enhance their expertise.</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GOVERNANCE &amp; RISK MANAGEMENT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Governance &amp; Risk Management</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Governance and Risk Management Control Domain</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