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Network &amp; Security Architecture</w:t>
      </w:r>
    </w:p>
    <w:p>
      <w:pPr>
        <w:pStyle w:val="CoverDeck"/>
      </w:pPr>
      <w:r>
        <w:t>Architecting resilient, segmented, zero-trust networks across traditional, cloud, and software-defined environments.</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Network &amp; Security Architecture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Network Security &amp; Architecture domain defines the structural and technical blueprint for securing enterprise network environments across traditional, cloud, hybrid, and software-defined infrastructures. This domain ensures the confidentiality, integrity, and availability of data in motion by enforcing controls around network segmentation, perimeter defenses, trust modeling, protocol governance, and adaptive access enforcement. By architecting resilient, compartmentalized, and policy-driven network layers, the organization reduces attack surfaces, impedes lateral movement, and enables dynamic response to emerging threats, ultimately fortifying the enterprise against both internal compromise and external adversaries.</w:t>
      </w:r>
    </w:p>
    <w:p>
      <w:pPr>
        <w:pStyle w:val="Kicker"/>
      </w:pPr>
      <w:r>
        <w:t>// control family</w:t>
      </w:r>
    </w:p>
    <w:p>
      <w:pPr>
        <w:pStyle w:val="Heading2"/>
      </w:pPr>
      <w:r>
        <w:t>Zero Trust Architecture (ZTA)</w:t>
      </w:r>
    </w:p>
    <w:p>
      <w:pPr/>
      <w:r>
        <w:t>Zero Trust Architecture (ZTA) redefines traditional perimeter-based security models by adopting a “never trust, always verify” posture across identity, devices, networks, applications, and data. This control family establishes the foundational principles, mechanisms, and governance required to design, implement, and sustain a Zero Trust Architecture that supports adaptive access decisions, minimizes lateral movement, and enforces continuous verification of trust.</w:t>
      </w:r>
    </w:p>
    <w:p>
      <w:pPr>
        <w:keepNext/>
        <w:spacing w:before="180"/>
      </w:pPr>
      <w:r>
        <w:rPr>
          <w:rFonts w:ascii="IBM Plex Mono" w:hAnsi="IBM Plex Mono" w:cs="IBM Plex Mono"/>
          <w:b/>
          <w:color w:val="0E8E66"/>
          <w:sz w:val="19"/>
        </w:rPr>
        <w:t>ZTA-01</w:t>
      </w:r>
      <w:r>
        <w:rPr>
          <w:rFonts w:ascii="IBM Plex Sans" w:hAnsi="IBM Plex Sans" w:cs="IBM Plex Sans"/>
          <w:b/>
          <w:color w:val="0B0E11"/>
          <w:sz w:val="21"/>
        </w:rPr>
        <w:t xml:space="preserve">   Define and Document a Zero Trust Strategy</w:t>
      </w:r>
    </w:p>
    <w:p>
      <w:pPr/>
      <w:r>
        <w:t>Organizations shall develop and maintain a formal Zero Trust Architecture (ZTA) strategy that aligns with enterprise security objectives, business priorities, and threat landscape, including a phased implementation roadmap and governance structure.</w:t>
      </w:r>
    </w:p>
    <w:p>
      <w:pPr>
        <w:keepNext/>
        <w:spacing w:before="180"/>
      </w:pPr>
      <w:r>
        <w:rPr>
          <w:rFonts w:ascii="IBM Plex Mono" w:hAnsi="IBM Plex Mono" w:cs="IBM Plex Mono"/>
          <w:b/>
          <w:color w:val="0E8E66"/>
          <w:sz w:val="19"/>
        </w:rPr>
        <w:t>ZTA-02</w:t>
      </w:r>
      <w:r>
        <w:rPr>
          <w:rFonts w:ascii="IBM Plex Sans" w:hAnsi="IBM Plex Sans" w:cs="IBM Plex Sans"/>
          <w:b/>
          <w:color w:val="0B0E11"/>
          <w:sz w:val="21"/>
        </w:rPr>
        <w:t xml:space="preserve">   Establish Trust Zones and Segmentation Boundaries</w:t>
      </w:r>
    </w:p>
    <w:p>
      <w:pPr/>
      <w:r>
        <w:t>Trust zones shall be defined and enforced to separate network segments, workloads, or user groups based on sensitivity, criticality, and trust requirements, with clearly documented rules governing allowed inter-zone communications.</w:t>
      </w:r>
    </w:p>
    <w:p>
      <w:pPr>
        <w:keepNext/>
        <w:spacing w:before="180"/>
      </w:pPr>
      <w:r>
        <w:rPr>
          <w:rFonts w:ascii="IBM Plex Mono" w:hAnsi="IBM Plex Mono" w:cs="IBM Plex Mono"/>
          <w:b/>
          <w:color w:val="0E8E66"/>
          <w:sz w:val="19"/>
        </w:rPr>
        <w:t>ZTA-03</w:t>
      </w:r>
      <w:r>
        <w:rPr>
          <w:rFonts w:ascii="IBM Plex Sans" w:hAnsi="IBM Plex Sans" w:cs="IBM Plex Sans"/>
          <w:b/>
          <w:color w:val="0B0E11"/>
          <w:sz w:val="21"/>
        </w:rPr>
        <w:t xml:space="preserve">   Implement Context-Aware Access Policies</w:t>
      </w:r>
    </w:p>
    <w:p>
      <w:pPr/>
      <w:r>
        <w:t>Access decisions shall incorporate contextual attributes such as device posture, user role, geolocation, and behavioral baselines to dynamically determine access permissions.</w:t>
      </w:r>
    </w:p>
    <w:p>
      <w:pPr>
        <w:keepNext/>
        <w:spacing w:before="180"/>
      </w:pPr>
      <w:r>
        <w:rPr>
          <w:rFonts w:ascii="IBM Plex Mono" w:hAnsi="IBM Plex Mono" w:cs="IBM Plex Mono"/>
          <w:b/>
          <w:color w:val="0E8E66"/>
          <w:sz w:val="19"/>
        </w:rPr>
        <w:t>ZTA-04</w:t>
      </w:r>
      <w:r>
        <w:rPr>
          <w:rFonts w:ascii="IBM Plex Sans" w:hAnsi="IBM Plex Sans" w:cs="IBM Plex Sans"/>
          <w:b/>
          <w:color w:val="0B0E11"/>
          <w:sz w:val="21"/>
        </w:rPr>
        <w:t xml:space="preserve">   Enforce Continuous Authentication and Authorization</w:t>
      </w:r>
    </w:p>
    <w:p>
      <w:pPr/>
      <w:r>
        <w:t>All users, devices, and services shall undergo continuous authentication and authorization checks throughout a session, not solely at the initial point of access.</w:t>
      </w:r>
    </w:p>
    <w:p>
      <w:pPr>
        <w:keepNext/>
        <w:spacing w:before="180"/>
      </w:pPr>
      <w:r>
        <w:rPr>
          <w:rFonts w:ascii="IBM Plex Mono" w:hAnsi="IBM Plex Mono" w:cs="IBM Plex Mono"/>
          <w:b/>
          <w:color w:val="0E8E66"/>
          <w:sz w:val="19"/>
        </w:rPr>
        <w:t>ZTA-05</w:t>
      </w:r>
      <w:r>
        <w:rPr>
          <w:rFonts w:ascii="IBM Plex Sans" w:hAnsi="IBM Plex Sans" w:cs="IBM Plex Sans"/>
          <w:b/>
          <w:color w:val="0B0E11"/>
          <w:sz w:val="21"/>
        </w:rPr>
        <w:t xml:space="preserve">   Require Device Posture Assessment Prior to Access</w:t>
      </w:r>
    </w:p>
    <w:p>
      <w:pPr/>
      <w:r>
        <w:t>Access to enterprise resources shall be restricted to devices that meet predefined security posture baselines (e.g., patch level, endpoint protection status), with real-time posture validation integrated into access control flows.</w:t>
      </w:r>
    </w:p>
    <w:p>
      <w:pPr>
        <w:keepNext/>
        <w:spacing w:before="180"/>
      </w:pPr>
      <w:r>
        <w:rPr>
          <w:rFonts w:ascii="IBM Plex Mono" w:hAnsi="IBM Plex Mono" w:cs="IBM Plex Mono"/>
          <w:b/>
          <w:color w:val="0E8E66"/>
          <w:sz w:val="19"/>
        </w:rPr>
        <w:t>ZTA-06</w:t>
      </w:r>
      <w:r>
        <w:rPr>
          <w:rFonts w:ascii="IBM Plex Sans" w:hAnsi="IBM Plex Sans" w:cs="IBM Plex Sans"/>
          <w:b/>
          <w:color w:val="0B0E11"/>
          <w:sz w:val="21"/>
        </w:rPr>
        <w:t xml:space="preserve">   Centralize Policy Decision and Enforcement Points (PDP/PEP)</w:t>
      </w:r>
    </w:p>
    <w:p>
      <w:pPr/>
      <w:r>
        <w:t>Organizations shall architect their ZTA to include centralized Policy Decision Points (PDPs) and distributed Policy Enforcement Points (PEPs) to ensure scalable, consistent access control.</w:t>
      </w:r>
    </w:p>
    <w:p>
      <w:pPr>
        <w:keepNext/>
        <w:spacing w:before="180"/>
      </w:pPr>
      <w:r>
        <w:rPr>
          <w:rFonts w:ascii="IBM Plex Mono" w:hAnsi="IBM Plex Mono" w:cs="IBM Plex Mono"/>
          <w:b/>
          <w:color w:val="0E8E66"/>
          <w:sz w:val="19"/>
        </w:rPr>
        <w:t>ZTA-07</w:t>
      </w:r>
      <w:r>
        <w:rPr>
          <w:rFonts w:ascii="IBM Plex Sans" w:hAnsi="IBM Plex Sans" w:cs="IBM Plex Sans"/>
          <w:b/>
          <w:color w:val="0B0E11"/>
          <w:sz w:val="21"/>
        </w:rPr>
        <w:t xml:space="preserve">   Implement Resource-Based Access Control</w:t>
      </w:r>
    </w:p>
    <w:p>
      <w:pPr/>
      <w:r>
        <w:t>Each enterprise resource (e.g., application, database, service) shall have granular, identity-aware access policies enforced directly at the resource layer, independent of the network perimeter.</w:t>
      </w:r>
    </w:p>
    <w:p>
      <w:pPr>
        <w:keepNext/>
        <w:spacing w:before="180"/>
      </w:pPr>
      <w:r>
        <w:rPr>
          <w:rFonts w:ascii="IBM Plex Mono" w:hAnsi="IBM Plex Mono" w:cs="IBM Plex Mono"/>
          <w:b/>
          <w:color w:val="0E8E66"/>
          <w:sz w:val="19"/>
        </w:rPr>
        <w:t>ZTA-08</w:t>
      </w:r>
      <w:r>
        <w:rPr>
          <w:rFonts w:ascii="IBM Plex Sans" w:hAnsi="IBM Plex Sans" w:cs="IBM Plex Sans"/>
          <w:b/>
          <w:color w:val="0B0E11"/>
          <w:sz w:val="21"/>
        </w:rPr>
        <w:t xml:space="preserve">   Enable East-West Traffic Visibility</w:t>
      </w:r>
    </w:p>
    <w:p>
      <w:pPr/>
      <w:r>
        <w:t>Mechanisms shall be deployed to monitor and analyze East-West (internal) traffic to detect anomalous behaviors, lateral movement attempts, and policy violations within segmented zones.</w:t>
      </w:r>
    </w:p>
    <w:p>
      <w:pPr>
        <w:keepNext/>
        <w:spacing w:before="180"/>
      </w:pPr>
      <w:r>
        <w:rPr>
          <w:rFonts w:ascii="IBM Plex Mono" w:hAnsi="IBM Plex Mono" w:cs="IBM Plex Mono"/>
          <w:b/>
          <w:color w:val="0E8E66"/>
          <w:sz w:val="19"/>
        </w:rPr>
        <w:t>ZTA-09</w:t>
      </w:r>
      <w:r>
        <w:rPr>
          <w:rFonts w:ascii="IBM Plex Sans" w:hAnsi="IBM Plex Sans" w:cs="IBM Plex Sans"/>
          <w:b/>
          <w:color w:val="0B0E11"/>
          <w:sz w:val="21"/>
        </w:rPr>
        <w:t xml:space="preserve">   Ensure Identity Binding to Sessions and Transactions</w:t>
      </w:r>
    </w:p>
    <w:p>
      <w:pPr/>
      <w:r>
        <w:t>All sessions and transactions shall be cryptographically or logically bound to the initiating identity to ensure traceability and prevent session hijacking.</w:t>
      </w:r>
    </w:p>
    <w:p>
      <w:pPr>
        <w:keepNext/>
        <w:spacing w:before="180"/>
      </w:pPr>
      <w:r>
        <w:rPr>
          <w:rFonts w:ascii="IBM Plex Mono" w:hAnsi="IBM Plex Mono" w:cs="IBM Plex Mono"/>
          <w:b/>
          <w:color w:val="0E8E66"/>
          <w:sz w:val="19"/>
        </w:rPr>
        <w:t>ZTA-10</w:t>
      </w:r>
      <w:r>
        <w:rPr>
          <w:rFonts w:ascii="IBM Plex Sans" w:hAnsi="IBM Plex Sans" w:cs="IBM Plex Sans"/>
          <w:b/>
          <w:color w:val="0B0E11"/>
          <w:sz w:val="21"/>
        </w:rPr>
        <w:t xml:space="preserve">   Integrate Telemetry for Trust Evaluation</w:t>
      </w:r>
    </w:p>
    <w:p>
      <w:pPr/>
      <w:r>
        <w:t>Continuous telemetry from endpoints, user activity, network traffic, and security tools shall feed into trust algorithms to dynamically adjust access decisions and risk scoring.</w:t>
      </w:r>
    </w:p>
    <w:p>
      <w:pPr>
        <w:keepNext/>
        <w:spacing w:before="180"/>
      </w:pPr>
      <w:r>
        <w:rPr>
          <w:rFonts w:ascii="IBM Plex Mono" w:hAnsi="IBM Plex Mono" w:cs="IBM Plex Mono"/>
          <w:b/>
          <w:color w:val="0E8E66"/>
          <w:sz w:val="19"/>
        </w:rPr>
        <w:t>ZTA-11</w:t>
      </w:r>
      <w:r>
        <w:rPr>
          <w:rFonts w:ascii="IBM Plex Sans" w:hAnsi="IBM Plex Sans" w:cs="IBM Plex Sans"/>
          <w:b/>
          <w:color w:val="0B0E11"/>
          <w:sz w:val="21"/>
        </w:rPr>
        <w:t xml:space="preserve">   Apply Just-In-Time (JIT) Access Principles</w:t>
      </w:r>
    </w:p>
    <w:p>
      <w:pPr/>
      <w:r>
        <w:t>Access to sensitive resources shall be provisioned using just-in-time (JIT) models to reduce standing privileges and limit exposure windows.</w:t>
      </w:r>
    </w:p>
    <w:p>
      <w:pPr>
        <w:keepNext/>
        <w:spacing w:before="180"/>
      </w:pPr>
      <w:r>
        <w:rPr>
          <w:rFonts w:ascii="IBM Plex Mono" w:hAnsi="IBM Plex Mono" w:cs="IBM Plex Mono"/>
          <w:b/>
          <w:color w:val="0E8E66"/>
          <w:sz w:val="19"/>
        </w:rPr>
        <w:t>ZTA-12</w:t>
      </w:r>
      <w:r>
        <w:rPr>
          <w:rFonts w:ascii="IBM Plex Sans" w:hAnsi="IBM Plex Sans" w:cs="IBM Plex Sans"/>
          <w:b/>
          <w:color w:val="0B0E11"/>
          <w:sz w:val="21"/>
        </w:rPr>
        <w:t xml:space="preserve">   Enforce Least Privilege at All Layers</w:t>
      </w:r>
    </w:p>
    <w:p>
      <w:pPr/>
      <w:r>
        <w:t>Zero Trust implementations shall enforce the principle of least privilege across user, service, network, and data layers, ensuring entities only access the minimum necessary resources.</w:t>
      </w:r>
    </w:p>
    <w:p>
      <w:pPr>
        <w:keepNext/>
        <w:spacing w:before="180"/>
      </w:pPr>
      <w:r>
        <w:rPr>
          <w:rFonts w:ascii="IBM Plex Mono" w:hAnsi="IBM Plex Mono" w:cs="IBM Plex Mono"/>
          <w:b/>
          <w:color w:val="0E8E66"/>
          <w:sz w:val="19"/>
        </w:rPr>
        <w:t>ZTA-13</w:t>
      </w:r>
      <w:r>
        <w:rPr>
          <w:rFonts w:ascii="IBM Plex Sans" w:hAnsi="IBM Plex Sans" w:cs="IBM Plex Sans"/>
          <w:b/>
          <w:color w:val="0B0E11"/>
          <w:sz w:val="21"/>
        </w:rPr>
        <w:t xml:space="preserve">   Support ZTA Through Secure Software-Defined Perimeters</w:t>
      </w:r>
    </w:p>
    <w:p>
      <w:pPr/>
      <w:r>
        <w:t>ZTA architectures shall leverage software-defined perimeter (SDP) technologies to obfuscate resource locations and only reveal them upon successful authentication and authorization.</w:t>
      </w:r>
    </w:p>
    <w:p>
      <w:pPr>
        <w:keepNext/>
        <w:spacing w:before="180"/>
      </w:pPr>
      <w:r>
        <w:rPr>
          <w:rFonts w:ascii="IBM Plex Mono" w:hAnsi="IBM Plex Mono" w:cs="IBM Plex Mono"/>
          <w:b/>
          <w:color w:val="0E8E66"/>
          <w:sz w:val="19"/>
        </w:rPr>
        <w:t>ZTA-14</w:t>
      </w:r>
      <w:r>
        <w:rPr>
          <w:rFonts w:ascii="IBM Plex Sans" w:hAnsi="IBM Plex Sans" w:cs="IBM Plex Sans"/>
          <w:b/>
          <w:color w:val="0B0E11"/>
          <w:sz w:val="21"/>
        </w:rPr>
        <w:t xml:space="preserve">   Automate Policy Updates Based on Risk Indicators</w:t>
      </w:r>
    </w:p>
    <w:p>
      <w:pPr/>
      <w:r>
        <w:t>Access policies shall be dynamically adjusted through automation based on threat intelligence, risk indicators, and environmental changes (e.g., CVE publication, breach reports).</w:t>
      </w:r>
    </w:p>
    <w:p>
      <w:pPr>
        <w:keepNext/>
        <w:spacing w:before="180"/>
      </w:pPr>
      <w:r>
        <w:rPr>
          <w:rFonts w:ascii="IBM Plex Mono" w:hAnsi="IBM Plex Mono" w:cs="IBM Plex Mono"/>
          <w:b/>
          <w:color w:val="0E8E66"/>
          <w:sz w:val="19"/>
        </w:rPr>
        <w:t>ZTA-15</w:t>
      </w:r>
      <w:r>
        <w:rPr>
          <w:rFonts w:ascii="IBM Plex Sans" w:hAnsi="IBM Plex Sans" w:cs="IBM Plex Sans"/>
          <w:b/>
          <w:color w:val="0B0E11"/>
          <w:sz w:val="21"/>
        </w:rPr>
        <w:t xml:space="preserve">   Implement Continuous Trust Validation for Devices and Services</w:t>
      </w:r>
    </w:p>
    <w:p>
      <w:pPr/>
      <w:r>
        <w:t>Trust assigned to devices, services, and identities shall decay over time and require periodic revalidation based on activity, security posture, and policy compliance.</w:t>
      </w:r>
    </w:p>
    <w:p>
      <w:pPr>
        <w:keepNext/>
        <w:spacing w:before="180"/>
      </w:pPr>
      <w:r>
        <w:rPr>
          <w:rFonts w:ascii="IBM Plex Mono" w:hAnsi="IBM Plex Mono" w:cs="IBM Plex Mono"/>
          <w:b/>
          <w:color w:val="0E8E66"/>
          <w:sz w:val="19"/>
        </w:rPr>
        <w:t>ZTA-16</w:t>
      </w:r>
      <w:r>
        <w:rPr>
          <w:rFonts w:ascii="IBM Plex Sans" w:hAnsi="IBM Plex Sans" w:cs="IBM Plex Sans"/>
          <w:b/>
          <w:color w:val="0B0E11"/>
          <w:sz w:val="21"/>
        </w:rPr>
        <w:t xml:space="preserve">   Establish Governance for ZTA Roles and Responsibilities</w:t>
      </w:r>
    </w:p>
    <w:p>
      <w:pPr/>
      <w:r>
        <w:t>Roles and responsibilities for Zero Trust implementation, maintenance, and oversight shall be clearly defined, including cross-functional collaboration between security, IT, and business units.</w:t>
      </w:r>
    </w:p>
    <w:p>
      <w:pPr>
        <w:keepNext/>
        <w:spacing w:before="180"/>
      </w:pPr>
      <w:r>
        <w:rPr>
          <w:rFonts w:ascii="IBM Plex Mono" w:hAnsi="IBM Plex Mono" w:cs="IBM Plex Mono"/>
          <w:b/>
          <w:color w:val="0E8E66"/>
          <w:sz w:val="19"/>
        </w:rPr>
        <w:t>ZTA-17</w:t>
      </w:r>
      <w:r>
        <w:rPr>
          <w:rFonts w:ascii="IBM Plex Sans" w:hAnsi="IBM Plex Sans" w:cs="IBM Plex Sans"/>
          <w:b/>
          <w:color w:val="0B0E11"/>
          <w:sz w:val="21"/>
        </w:rPr>
        <w:t xml:space="preserve">   Conduct Regular Zero Trust Readiness Assessments</w:t>
      </w:r>
    </w:p>
    <w:p>
      <w:pPr/>
      <w:r>
        <w:t>Organizations shall perform periodic assessments of their Zero Trust maturity and readiness using defined benchmarks, frameworks, or third-party evaluations.</w:t>
      </w:r>
    </w:p>
    <w:p>
      <w:pPr>
        <w:keepNext/>
        <w:spacing w:before="180"/>
      </w:pPr>
      <w:r>
        <w:rPr>
          <w:rFonts w:ascii="IBM Plex Mono" w:hAnsi="IBM Plex Mono" w:cs="IBM Plex Mono"/>
          <w:b/>
          <w:color w:val="0E8E66"/>
          <w:sz w:val="19"/>
        </w:rPr>
        <w:t>ZTA-18</w:t>
      </w:r>
      <w:r>
        <w:rPr>
          <w:rFonts w:ascii="IBM Plex Sans" w:hAnsi="IBM Plex Sans" w:cs="IBM Plex Sans"/>
          <w:b/>
          <w:color w:val="0B0E11"/>
          <w:sz w:val="21"/>
        </w:rPr>
        <w:t xml:space="preserve">   Monitor for Policy Drift and Configuration Deviations</w:t>
      </w:r>
    </w:p>
    <w:p>
      <w:pPr/>
      <w:r>
        <w:t>Controls shall be in place to detect, alert, and remediate deviations from defined ZTA policies or configurations that could undermine trust boundaries or enforcement.</w:t>
      </w:r>
    </w:p>
    <w:p>
      <w:pPr>
        <w:keepNext/>
        <w:spacing w:before="180"/>
      </w:pPr>
      <w:r>
        <w:rPr>
          <w:rFonts w:ascii="IBM Plex Mono" w:hAnsi="IBM Plex Mono" w:cs="IBM Plex Mono"/>
          <w:b/>
          <w:color w:val="0E8E66"/>
          <w:sz w:val="19"/>
        </w:rPr>
        <w:t>ZTA-19</w:t>
      </w:r>
      <w:r>
        <w:rPr>
          <w:rFonts w:ascii="IBM Plex Sans" w:hAnsi="IBM Plex Sans" w:cs="IBM Plex Sans"/>
          <w:b/>
          <w:color w:val="0B0E11"/>
          <w:sz w:val="21"/>
        </w:rPr>
        <w:t xml:space="preserve">   Integrate Zero Trust with Cloud and Hybrid Environments</w:t>
      </w:r>
    </w:p>
    <w:p>
      <w:pPr/>
      <w:r>
        <w:t>ZTA policies and enforcement mechanisms shall extend consistently across on-premise, cloud, and hybrid environments, accounting for different trust models and control capabilities.</w:t>
      </w:r>
    </w:p>
    <w:p>
      <w:pPr>
        <w:keepNext/>
        <w:spacing w:before="180"/>
      </w:pPr>
      <w:r>
        <w:rPr>
          <w:rFonts w:ascii="IBM Plex Mono" w:hAnsi="IBM Plex Mono" w:cs="IBM Plex Mono"/>
          <w:b/>
          <w:color w:val="0E8E66"/>
          <w:sz w:val="19"/>
        </w:rPr>
        <w:t>ZTA-20</w:t>
      </w:r>
      <w:r>
        <w:rPr>
          <w:rFonts w:ascii="IBM Plex Sans" w:hAnsi="IBM Plex Sans" w:cs="IBM Plex Sans"/>
          <w:b/>
          <w:color w:val="0B0E11"/>
          <w:sz w:val="21"/>
        </w:rPr>
        <w:t xml:space="preserve">   Maintain an Inventory of Trust Relationships</w:t>
      </w:r>
    </w:p>
    <w:p>
      <w:pPr/>
      <w:r>
        <w:t>Organizations shall maintain an up-to-date inventory of all trust relationships across systems, services, and users, including documented rationale, risk level, and expiration criteria.</w:t>
      </w:r>
    </w:p>
    <w:p>
      <w:pPr>
        <w:keepNext/>
        <w:spacing w:before="180"/>
      </w:pPr>
      <w:r>
        <w:rPr>
          <w:rFonts w:ascii="IBM Plex Mono" w:hAnsi="IBM Plex Mono" w:cs="IBM Plex Mono"/>
          <w:b/>
          <w:color w:val="0E8E66"/>
          <w:sz w:val="19"/>
        </w:rPr>
        <w:t>ZTA-21</w:t>
      </w:r>
      <w:r>
        <w:rPr>
          <w:rFonts w:ascii="IBM Plex Sans" w:hAnsi="IBM Plex Sans" w:cs="IBM Plex Sans"/>
          <w:b/>
          <w:color w:val="0B0E11"/>
          <w:sz w:val="21"/>
        </w:rPr>
        <w:t xml:space="preserve">   Validate Third-Party Compliance with Zero Trust Principles</w:t>
      </w:r>
    </w:p>
    <w:p>
      <w:pPr/>
      <w:r>
        <w:t>Third-party integrations shall be reviewed to ensure compatibility with ZTA principles, including identity federation, segmentation enforcement, and contextual access control.</w:t>
      </w:r>
    </w:p>
    <w:p>
      <w:pPr>
        <w:keepNext/>
        <w:spacing w:before="180"/>
      </w:pPr>
      <w:r>
        <w:rPr>
          <w:rFonts w:ascii="IBM Plex Mono" w:hAnsi="IBM Plex Mono" w:cs="IBM Plex Mono"/>
          <w:b/>
          <w:color w:val="0E8E66"/>
          <w:sz w:val="19"/>
        </w:rPr>
        <w:t>ZTA-22</w:t>
      </w:r>
      <w:r>
        <w:rPr>
          <w:rFonts w:ascii="IBM Plex Sans" w:hAnsi="IBM Plex Sans" w:cs="IBM Plex Sans"/>
          <w:b/>
          <w:color w:val="0B0E11"/>
          <w:sz w:val="21"/>
        </w:rPr>
        <w:t xml:space="preserve">   Conduct Simulated Breach Scenarios to Test ZTA Resilience</w:t>
      </w:r>
    </w:p>
    <w:p>
      <w:pPr/>
      <w:r>
        <w:t>Regular simulated breach and lateral movement exercises shall be conducted to test the effectiveness of ZTA segmentation, detection, and trust revalidation mechanisms.</w:t>
      </w:r>
    </w:p>
    <w:p>
      <w:pPr>
        <w:pStyle w:val="Kicker"/>
      </w:pPr>
      <w:r>
        <w:t>// control family</w:t>
      </w:r>
    </w:p>
    <w:p>
      <w:pPr>
        <w:pStyle w:val="Heading2"/>
      </w:pPr>
      <w:r>
        <w:t>Micro-Segmentation &amp; Network Access Control (MSN)</w:t>
      </w:r>
    </w:p>
    <w:p>
      <w:pPr/>
      <w:r>
        <w:t>Micro-Segmentation and Network Access Control (NAC) form the enforcement backbone of east-west traffic restrictions, dynamic network trust zones, and host-to-host isolation. While Zero Trust defines the strategic model, this control family addresses the technical and operational enforcement of that model through fine-grained segmentation, real-time access decisions, and adaptive network controls. These controls ensure containment, limit lateral movement, and maintain network integrity based on identity, context, and behavioral baselines.</w:t>
      </w:r>
    </w:p>
    <w:p>
      <w:pPr>
        <w:keepNext/>
        <w:spacing w:before="180"/>
      </w:pPr>
      <w:r>
        <w:rPr>
          <w:rFonts w:ascii="IBM Plex Mono" w:hAnsi="IBM Plex Mono" w:cs="IBM Plex Mono"/>
          <w:b/>
          <w:color w:val="0E8E66"/>
          <w:sz w:val="19"/>
        </w:rPr>
        <w:t>MSN-01</w:t>
      </w:r>
      <w:r>
        <w:rPr>
          <w:rFonts w:ascii="IBM Plex Sans" w:hAnsi="IBM Plex Sans" w:cs="IBM Plex Sans"/>
          <w:b/>
          <w:color w:val="0B0E11"/>
          <w:sz w:val="21"/>
        </w:rPr>
        <w:t xml:space="preserve">   Define Logical Segmentation Boundaries at the Network Layer</w:t>
      </w:r>
    </w:p>
    <w:p>
      <w:pPr/>
      <w:r>
        <w:t>Organizations shall document and implement logical segmentation boundaries that separate users, devices, and workloads based on sensitivity, function, or risk level, using VLANs, VRFs, or overlay networks.</w:t>
      </w:r>
    </w:p>
    <w:p>
      <w:pPr>
        <w:keepNext/>
        <w:spacing w:before="180"/>
      </w:pPr>
      <w:r>
        <w:rPr>
          <w:rFonts w:ascii="IBM Plex Mono" w:hAnsi="IBM Plex Mono" w:cs="IBM Plex Mono"/>
          <w:b/>
          <w:color w:val="0E8E66"/>
          <w:sz w:val="19"/>
        </w:rPr>
        <w:t>MSN-02</w:t>
      </w:r>
      <w:r>
        <w:rPr>
          <w:rFonts w:ascii="IBM Plex Sans" w:hAnsi="IBM Plex Sans" w:cs="IBM Plex Sans"/>
          <w:b/>
          <w:color w:val="0B0E11"/>
          <w:sz w:val="21"/>
        </w:rPr>
        <w:t xml:space="preserve">   Enforce Host-Level Micro-Segmentation</w:t>
      </w:r>
    </w:p>
    <w:p>
      <w:pPr/>
      <w:r>
        <w:t>Host-based firewalls or agent-based enforcement mechanisms shall be deployed to enable micro-segmentation directly at the workload or endpoint level, enforcing process-to-process or application-level communication controls.</w:t>
      </w:r>
    </w:p>
    <w:p>
      <w:pPr>
        <w:keepNext/>
        <w:spacing w:before="180"/>
      </w:pPr>
      <w:r>
        <w:rPr>
          <w:rFonts w:ascii="IBM Plex Mono" w:hAnsi="IBM Plex Mono" w:cs="IBM Plex Mono"/>
          <w:b/>
          <w:color w:val="0E8E66"/>
          <w:sz w:val="19"/>
        </w:rPr>
        <w:t>MSN-03</w:t>
      </w:r>
      <w:r>
        <w:rPr>
          <w:rFonts w:ascii="IBM Plex Sans" w:hAnsi="IBM Plex Sans" w:cs="IBM Plex Sans"/>
          <w:b/>
          <w:color w:val="0B0E11"/>
          <w:sz w:val="21"/>
        </w:rPr>
        <w:t xml:space="preserve">   Implement Policy-Driven NAC Enforcement</w:t>
      </w:r>
    </w:p>
    <w:p>
      <w:pPr/>
      <w:r>
        <w:t>Network Access Control policies shall be enforced dynamically based on user role, device posture, location, and time of access, leveraging 802.1X, MACsec, or software-defined enforcement technologies.</w:t>
      </w:r>
    </w:p>
    <w:p>
      <w:pPr>
        <w:keepNext/>
        <w:spacing w:before="180"/>
      </w:pPr>
      <w:r>
        <w:rPr>
          <w:rFonts w:ascii="IBM Plex Mono" w:hAnsi="IBM Plex Mono" w:cs="IBM Plex Mono"/>
          <w:b/>
          <w:color w:val="0E8E66"/>
          <w:sz w:val="19"/>
        </w:rPr>
        <w:t>MSN-04</w:t>
      </w:r>
      <w:r>
        <w:rPr>
          <w:rFonts w:ascii="IBM Plex Sans" w:hAnsi="IBM Plex Sans" w:cs="IBM Plex Sans"/>
          <w:b/>
          <w:color w:val="0B0E11"/>
          <w:sz w:val="21"/>
        </w:rPr>
        <w:t xml:space="preserve">   Tag and Classify Network Assets for Segmentation Alignment</w:t>
      </w:r>
    </w:p>
    <w:p>
      <w:pPr/>
      <w:r>
        <w:t>All network-connected assets shall be tagged and classified by function, criticality, and ownership to support dynamic segmentation policies and enforcement logic.</w:t>
      </w:r>
    </w:p>
    <w:p>
      <w:pPr>
        <w:keepNext/>
        <w:spacing w:before="180"/>
      </w:pPr>
      <w:r>
        <w:rPr>
          <w:rFonts w:ascii="IBM Plex Mono" w:hAnsi="IBM Plex Mono" w:cs="IBM Plex Mono"/>
          <w:b/>
          <w:color w:val="0E8E66"/>
          <w:sz w:val="19"/>
        </w:rPr>
        <w:t>MSN-05</w:t>
      </w:r>
      <w:r>
        <w:rPr>
          <w:rFonts w:ascii="IBM Plex Sans" w:hAnsi="IBM Plex Sans" w:cs="IBM Plex Sans"/>
          <w:b/>
          <w:color w:val="0B0E11"/>
          <w:sz w:val="21"/>
        </w:rPr>
        <w:t xml:space="preserve">   Monitor and Alert on Segmentation Violations</w:t>
      </w:r>
    </w:p>
    <w:p>
      <w:pPr/>
      <w:r>
        <w:t>Systems shall generate real-time alerts and logs when unauthorized or anomalous traffic attempts to traverse defined segmentation or access boundaries.</w:t>
      </w:r>
    </w:p>
    <w:p>
      <w:pPr>
        <w:keepNext/>
        <w:spacing w:before="180"/>
      </w:pPr>
      <w:r>
        <w:rPr>
          <w:rFonts w:ascii="IBM Plex Mono" w:hAnsi="IBM Plex Mono" w:cs="IBM Plex Mono"/>
          <w:b/>
          <w:color w:val="0E8E66"/>
          <w:sz w:val="19"/>
        </w:rPr>
        <w:t>MSN-06</w:t>
      </w:r>
      <w:r>
        <w:rPr>
          <w:rFonts w:ascii="IBM Plex Sans" w:hAnsi="IBM Plex Sans" w:cs="IBM Plex Sans"/>
          <w:b/>
          <w:color w:val="0B0E11"/>
          <w:sz w:val="21"/>
        </w:rPr>
        <w:t xml:space="preserve">   Restrict East-West Traffic Using Granular ACLs</w:t>
      </w:r>
    </w:p>
    <w:p>
      <w:pPr/>
      <w:r>
        <w:t>East-west network traffic shall be restricted using Access Control Lists (ACLs) or software-defined rules, ensuring only approved communications are allowed between trust zones or network segments.</w:t>
      </w:r>
    </w:p>
    <w:p>
      <w:pPr>
        <w:keepNext/>
        <w:spacing w:before="180"/>
      </w:pPr>
      <w:r>
        <w:rPr>
          <w:rFonts w:ascii="IBM Plex Mono" w:hAnsi="IBM Plex Mono" w:cs="IBM Plex Mono"/>
          <w:b/>
          <w:color w:val="0E8E66"/>
          <w:sz w:val="19"/>
        </w:rPr>
        <w:t>MSN-07</w:t>
      </w:r>
      <w:r>
        <w:rPr>
          <w:rFonts w:ascii="IBM Plex Sans" w:hAnsi="IBM Plex Sans" w:cs="IBM Plex Sans"/>
          <w:b/>
          <w:color w:val="0B0E11"/>
          <w:sz w:val="21"/>
        </w:rPr>
        <w:t xml:space="preserve">   Apply Network Segmentation to Third-Party Connections</w:t>
      </w:r>
    </w:p>
    <w:p>
      <w:pPr/>
      <w:r>
        <w:t>Third-party access (e.g., contractors, partners, MSPs) shall be isolated into dedicated segments with strictly limited and monitored access paths, independent of internal network resources.</w:t>
      </w:r>
    </w:p>
    <w:p>
      <w:pPr>
        <w:keepNext/>
        <w:spacing w:before="180"/>
      </w:pPr>
      <w:r>
        <w:rPr>
          <w:rFonts w:ascii="IBM Plex Mono" w:hAnsi="IBM Plex Mono" w:cs="IBM Plex Mono"/>
          <w:b/>
          <w:color w:val="0E8E66"/>
          <w:sz w:val="19"/>
        </w:rPr>
        <w:t>MSN-08</w:t>
      </w:r>
      <w:r>
        <w:rPr>
          <w:rFonts w:ascii="IBM Plex Sans" w:hAnsi="IBM Plex Sans" w:cs="IBM Plex Sans"/>
          <w:b/>
          <w:color w:val="0B0E11"/>
          <w:sz w:val="21"/>
        </w:rPr>
        <w:t xml:space="preserve">   Enforce NAC on Wireless and Remote Connections</w:t>
      </w:r>
    </w:p>
    <w:p>
      <w:pPr/>
      <w:r>
        <w:t>Wireless and remote endpoints shall be subject to NAC policies equivalent in rigor to wired access points, using VPN-based or agent-based posture verification.</w:t>
      </w:r>
    </w:p>
    <w:p>
      <w:pPr>
        <w:keepNext/>
        <w:spacing w:before="180"/>
      </w:pPr>
      <w:r>
        <w:rPr>
          <w:rFonts w:ascii="IBM Plex Mono" w:hAnsi="IBM Plex Mono" w:cs="IBM Plex Mono"/>
          <w:b/>
          <w:color w:val="0E8E66"/>
          <w:sz w:val="19"/>
        </w:rPr>
        <w:t>MSN-09</w:t>
      </w:r>
      <w:r>
        <w:rPr>
          <w:rFonts w:ascii="IBM Plex Sans" w:hAnsi="IBM Plex Sans" w:cs="IBM Plex Sans"/>
          <w:b/>
          <w:color w:val="0B0E11"/>
          <w:sz w:val="21"/>
        </w:rPr>
        <w:t xml:space="preserve">   Integrate NAC with Endpoint Detection Systems</w:t>
      </w:r>
    </w:p>
    <w:p>
      <w:pPr/>
      <w:r>
        <w:t>NAC solutions shall be integrated with endpoint protection platforms (e.g., EDR, antivirus) to factor real-time endpoint health into access control decisions.</w:t>
      </w:r>
    </w:p>
    <w:p>
      <w:pPr>
        <w:keepNext/>
        <w:spacing w:before="180"/>
      </w:pPr>
      <w:r>
        <w:rPr>
          <w:rFonts w:ascii="IBM Plex Mono" w:hAnsi="IBM Plex Mono" w:cs="IBM Plex Mono"/>
          <w:b/>
          <w:color w:val="0E8E66"/>
          <w:sz w:val="19"/>
        </w:rPr>
        <w:t>MSN-10</w:t>
      </w:r>
      <w:r>
        <w:rPr>
          <w:rFonts w:ascii="IBM Plex Sans" w:hAnsi="IBM Plex Sans" w:cs="IBM Plex Sans"/>
          <w:b/>
          <w:color w:val="0B0E11"/>
          <w:sz w:val="21"/>
        </w:rPr>
        <w:t xml:space="preserve">   Utilize Software-Defined Network (SDN) Controls for Segmentation</w:t>
      </w:r>
    </w:p>
    <w:p>
      <w:pPr/>
      <w:r>
        <w:t>SDN or controller-based solutions shall be used to create dynamic, policy-driven segmentation that can adapt to changes in environment, threat level, or business context.</w:t>
      </w:r>
    </w:p>
    <w:p>
      <w:pPr>
        <w:keepNext/>
        <w:spacing w:before="180"/>
      </w:pPr>
      <w:r>
        <w:rPr>
          <w:rFonts w:ascii="IBM Plex Mono" w:hAnsi="IBM Plex Mono" w:cs="IBM Plex Mono"/>
          <w:b/>
          <w:color w:val="0E8E66"/>
          <w:sz w:val="19"/>
        </w:rPr>
        <w:t>MSN-11</w:t>
      </w:r>
      <w:r>
        <w:rPr>
          <w:rFonts w:ascii="IBM Plex Sans" w:hAnsi="IBM Plex Sans" w:cs="IBM Plex Sans"/>
          <w:b/>
          <w:color w:val="0B0E11"/>
          <w:sz w:val="21"/>
        </w:rPr>
        <w:t xml:space="preserve">   Implement Time-Bound Access for Network Connections</w:t>
      </w:r>
    </w:p>
    <w:p>
      <w:pPr/>
      <w:r>
        <w:t>Temporary access to sensitive network segments shall be automatically revoked after a defined time interval or activity completion to reduce persistent exposure.</w:t>
      </w:r>
    </w:p>
    <w:p>
      <w:pPr>
        <w:keepNext/>
        <w:spacing w:before="180"/>
      </w:pPr>
      <w:r>
        <w:rPr>
          <w:rFonts w:ascii="IBM Plex Mono" w:hAnsi="IBM Plex Mono" w:cs="IBM Plex Mono"/>
          <w:b/>
          <w:color w:val="0E8E66"/>
          <w:sz w:val="19"/>
        </w:rPr>
        <w:t>MSN-12</w:t>
      </w:r>
      <w:r>
        <w:rPr>
          <w:rFonts w:ascii="IBM Plex Sans" w:hAnsi="IBM Plex Sans" w:cs="IBM Plex Sans"/>
          <w:b/>
          <w:color w:val="0B0E11"/>
          <w:sz w:val="21"/>
        </w:rPr>
        <w:t xml:space="preserve">   Quarantine Non-Compliant or Infected Devices Automatically</w:t>
      </w:r>
    </w:p>
    <w:p>
      <w:pPr/>
      <w:r>
        <w:t>Devices that fail posture assessment or exhibit indicators of compromise shall be dynamically quarantined or redirected to remediation zones via NAC or SDN controls.</w:t>
      </w:r>
    </w:p>
    <w:p>
      <w:pPr>
        <w:keepNext/>
        <w:spacing w:before="180"/>
      </w:pPr>
      <w:r>
        <w:rPr>
          <w:rFonts w:ascii="IBM Plex Mono" w:hAnsi="IBM Plex Mono" w:cs="IBM Plex Mono"/>
          <w:b/>
          <w:color w:val="0E8E66"/>
          <w:sz w:val="19"/>
        </w:rPr>
        <w:t>MSN-13</w:t>
      </w:r>
      <w:r>
        <w:rPr>
          <w:rFonts w:ascii="IBM Plex Sans" w:hAnsi="IBM Plex Sans" w:cs="IBM Plex Sans"/>
          <w:b/>
          <w:color w:val="0B0E11"/>
          <w:sz w:val="21"/>
        </w:rPr>
        <w:t xml:space="preserve">   Enforce Network Access Controls Across Data Center Fabrics</w:t>
      </w:r>
    </w:p>
    <w:p>
      <w:pPr/>
      <w:r>
        <w:t>Segmentation policies and enforcement shall extend uniformly across physical and virtual data center fabrics, including container networking and hypervisor-level segmentation.</w:t>
      </w:r>
    </w:p>
    <w:p>
      <w:pPr>
        <w:keepNext/>
        <w:spacing w:before="180"/>
      </w:pPr>
      <w:r>
        <w:rPr>
          <w:rFonts w:ascii="IBM Plex Mono" w:hAnsi="IBM Plex Mono" w:cs="IBM Plex Mono"/>
          <w:b/>
          <w:color w:val="0E8E66"/>
          <w:sz w:val="19"/>
        </w:rPr>
        <w:t>MSN-14</w:t>
      </w:r>
      <w:r>
        <w:rPr>
          <w:rFonts w:ascii="IBM Plex Sans" w:hAnsi="IBM Plex Sans" w:cs="IBM Plex Sans"/>
          <w:b/>
          <w:color w:val="0B0E11"/>
          <w:sz w:val="21"/>
        </w:rPr>
        <w:t xml:space="preserve">   Maintain a Dynamic Map of Authorized Communication Paths</w:t>
      </w:r>
    </w:p>
    <w:p>
      <w:pPr/>
      <w:r>
        <w:t>Organizations shall maintain and regularly update a visual or logical map of authorized communication flows between network zones and segments to support enforcement and auditability.</w:t>
      </w:r>
    </w:p>
    <w:p>
      <w:pPr>
        <w:keepNext/>
        <w:spacing w:before="180"/>
      </w:pPr>
      <w:r>
        <w:rPr>
          <w:rFonts w:ascii="IBM Plex Mono" w:hAnsi="IBM Plex Mono" w:cs="IBM Plex Mono"/>
          <w:b/>
          <w:color w:val="0E8E66"/>
          <w:sz w:val="19"/>
        </w:rPr>
        <w:t>MSN-15</w:t>
      </w:r>
      <w:r>
        <w:rPr>
          <w:rFonts w:ascii="IBM Plex Sans" w:hAnsi="IBM Plex Sans" w:cs="IBM Plex Sans"/>
          <w:b/>
          <w:color w:val="0B0E11"/>
          <w:sz w:val="21"/>
        </w:rPr>
        <w:t xml:space="preserve">   Use Identity-Based Network Access Policies</w:t>
      </w:r>
    </w:p>
    <w:p>
      <w:pPr/>
      <w:r>
        <w:t>NAC policies shall be tied to identity attributes (e.g., AD group, role, department) rather than static IPs or MAC addresses to support flexibility and alignment with IAM governance.</w:t>
      </w:r>
    </w:p>
    <w:p>
      <w:pPr>
        <w:keepNext/>
        <w:spacing w:before="180"/>
      </w:pPr>
      <w:r>
        <w:rPr>
          <w:rFonts w:ascii="IBM Plex Mono" w:hAnsi="IBM Plex Mono" w:cs="IBM Plex Mono"/>
          <w:b/>
          <w:color w:val="0E8E66"/>
          <w:sz w:val="19"/>
        </w:rPr>
        <w:t>MSN-16</w:t>
      </w:r>
      <w:r>
        <w:rPr>
          <w:rFonts w:ascii="IBM Plex Sans" w:hAnsi="IBM Plex Sans" w:cs="IBM Plex Sans"/>
          <w:b/>
          <w:color w:val="0B0E11"/>
          <w:sz w:val="21"/>
        </w:rPr>
        <w:t xml:space="preserve">   Restrict Lateral Movement Within User Access Segments</w:t>
      </w:r>
    </w:p>
    <w:p>
      <w:pPr/>
      <w:r>
        <w:t>Even within the same user segment or VLAN, controls shall prevent or restrict lateral movement (e.g., user-to-user traffic) unless explicitly authorized.</w:t>
      </w:r>
    </w:p>
    <w:p>
      <w:pPr>
        <w:keepNext/>
        <w:spacing w:before="180"/>
      </w:pPr>
      <w:r>
        <w:rPr>
          <w:rFonts w:ascii="IBM Plex Mono" w:hAnsi="IBM Plex Mono" w:cs="IBM Plex Mono"/>
          <w:b/>
          <w:color w:val="0E8E66"/>
          <w:sz w:val="19"/>
        </w:rPr>
        <w:t>MSN-17</w:t>
      </w:r>
      <w:r>
        <w:rPr>
          <w:rFonts w:ascii="IBM Plex Sans" w:hAnsi="IBM Plex Sans" w:cs="IBM Plex Sans"/>
          <w:b/>
          <w:color w:val="0B0E11"/>
          <w:sz w:val="21"/>
        </w:rPr>
        <w:t xml:space="preserve">   Require Segmentation Reviews During System Changes</w:t>
      </w:r>
    </w:p>
    <w:p>
      <w:pPr/>
      <w:r>
        <w:t>Any system, application, or infrastructure change that affects network connectivity shall require a segmentation impact analysis and validation of compliance with segmentation policy.</w:t>
      </w:r>
    </w:p>
    <w:p>
      <w:pPr>
        <w:keepNext/>
        <w:spacing w:before="180"/>
      </w:pPr>
      <w:r>
        <w:rPr>
          <w:rFonts w:ascii="IBM Plex Mono" w:hAnsi="IBM Plex Mono" w:cs="IBM Plex Mono"/>
          <w:b/>
          <w:color w:val="0E8E66"/>
          <w:sz w:val="19"/>
        </w:rPr>
        <w:t>MSN-18</w:t>
      </w:r>
      <w:r>
        <w:rPr>
          <w:rFonts w:ascii="IBM Plex Sans" w:hAnsi="IBM Plex Sans" w:cs="IBM Plex Sans"/>
          <w:b/>
          <w:color w:val="0B0E11"/>
          <w:sz w:val="21"/>
        </w:rPr>
        <w:t xml:space="preserve">   Log All Network Access Control Decisions</w:t>
      </w:r>
    </w:p>
    <w:p>
      <w:pPr/>
      <w:r>
        <w:t>All access control decisions made by NAC systems (e.g., allow, deny, quarantine) shall be logged with metadata to support forensic analysis and access reviews.</w:t>
      </w:r>
    </w:p>
    <w:p>
      <w:pPr>
        <w:keepNext/>
        <w:spacing w:before="180"/>
      </w:pPr>
      <w:r>
        <w:rPr>
          <w:rFonts w:ascii="IBM Plex Mono" w:hAnsi="IBM Plex Mono" w:cs="IBM Plex Mono"/>
          <w:b/>
          <w:color w:val="0E8E66"/>
          <w:sz w:val="19"/>
        </w:rPr>
        <w:t>MSN-19</w:t>
      </w:r>
      <w:r>
        <w:rPr>
          <w:rFonts w:ascii="IBM Plex Sans" w:hAnsi="IBM Plex Sans" w:cs="IBM Plex Sans"/>
          <w:b/>
          <w:color w:val="0B0E11"/>
          <w:sz w:val="21"/>
        </w:rPr>
        <w:t xml:space="preserve">   Perform Periodic NAC and Segmentation Testing</w:t>
      </w:r>
    </w:p>
    <w:p>
      <w:pPr/>
      <w:r>
        <w:t>Organizations shall conduct periodic validation and penetration testing of NAC enforcement and segmentation policies to identify bypass methods or misconfigurations.</w:t>
      </w:r>
    </w:p>
    <w:p>
      <w:pPr>
        <w:keepNext/>
        <w:spacing w:before="180"/>
      </w:pPr>
      <w:r>
        <w:rPr>
          <w:rFonts w:ascii="IBM Plex Mono" w:hAnsi="IBM Plex Mono" w:cs="IBM Plex Mono"/>
          <w:b/>
          <w:color w:val="0E8E66"/>
          <w:sz w:val="19"/>
        </w:rPr>
        <w:t>MSN-20</w:t>
      </w:r>
      <w:r>
        <w:rPr>
          <w:rFonts w:ascii="IBM Plex Sans" w:hAnsi="IBM Plex Sans" w:cs="IBM Plex Sans"/>
          <w:b/>
          <w:color w:val="0B0E11"/>
          <w:sz w:val="21"/>
        </w:rPr>
        <w:t xml:space="preserve">   Maintain an Exception Process for Segmentation Controls</w:t>
      </w:r>
    </w:p>
    <w:p>
      <w:pPr/>
      <w:r>
        <w:t>A formalized, time-limited exception process shall exist for segmentation and access control requests that require deviations from defined policies, with full audit trails and approval workflows.</w:t>
      </w:r>
    </w:p>
    <w:p>
      <w:pPr>
        <w:keepNext/>
        <w:spacing w:before="180"/>
      </w:pPr>
      <w:r>
        <w:rPr>
          <w:rFonts w:ascii="IBM Plex Mono" w:hAnsi="IBM Plex Mono" w:cs="IBM Plex Mono"/>
          <w:b/>
          <w:color w:val="0E8E66"/>
          <w:sz w:val="19"/>
        </w:rPr>
        <w:t>MSN-21</w:t>
      </w:r>
      <w:r>
        <w:rPr>
          <w:rFonts w:ascii="IBM Plex Sans" w:hAnsi="IBM Plex Sans" w:cs="IBM Plex Sans"/>
          <w:b/>
          <w:color w:val="0B0E11"/>
          <w:sz w:val="21"/>
        </w:rPr>
        <w:t xml:space="preserve">   Align Segmentation Enforcement with Data Sensitivity Zones</w:t>
      </w:r>
    </w:p>
    <w:p>
      <w:pPr/>
      <w:r>
        <w:t>Segmentation shall correlate directly with data classification, ensuring that sensitive or regulated data resides within restricted zones with enforced access boundaries.</w:t>
      </w:r>
    </w:p>
    <w:p>
      <w:pPr>
        <w:pStyle w:val="Kicker"/>
      </w:pPr>
      <w:r>
        <w:t>// control family</w:t>
      </w:r>
    </w:p>
    <w:p>
      <w:pPr>
        <w:pStyle w:val="Heading2"/>
      </w:pPr>
      <w:r>
        <w:t>Firewalls &amp; Intrusion Detection/Prevention Systems (IDS/IPS) (IPS)</w:t>
      </w:r>
    </w:p>
    <w:p>
      <w:pPr/>
      <w:r>
        <w:t>Firewalls and Intrusion Detection/Prevention Systems (IDS/IPS) form a critical part of an organization’s perimeter and internal defense infrastructure. This control family focuses on the detection, prevention, and control of unauthorized or anomalous traffic at ingress, egress, and internal chokepoints. These controls ensure consistent enforcement of security policy, visibility into network-layer threats, and rapid mitigation of known and emerging attack vectors without duplicating broader segmentation or monitoring responsibilities assigned elsewhere.</w:t>
      </w:r>
    </w:p>
    <w:p>
      <w:pPr>
        <w:keepNext/>
        <w:spacing w:before="180"/>
      </w:pPr>
      <w:r>
        <w:rPr>
          <w:rFonts w:ascii="IBM Plex Mono" w:hAnsi="IBM Plex Mono" w:cs="IBM Plex Mono"/>
          <w:b/>
          <w:color w:val="0E8E66"/>
          <w:sz w:val="19"/>
        </w:rPr>
        <w:t>IPS-01</w:t>
      </w:r>
      <w:r>
        <w:rPr>
          <w:rFonts w:ascii="IBM Plex Sans" w:hAnsi="IBM Plex Sans" w:cs="IBM Plex Sans"/>
          <w:b/>
          <w:color w:val="0B0E11"/>
          <w:sz w:val="21"/>
        </w:rPr>
        <w:t xml:space="preserve">   Deploy Layered Firewalls Across Network Tiers</w:t>
      </w:r>
    </w:p>
    <w:p>
      <w:pPr/>
      <w:r>
        <w:t>Organizations shall implement firewalls at all critical network junctures, including perimeter, DMZ, internal zones, and cloud gateways, ensuring layered traffic inspection and policy enforcement.</w:t>
      </w:r>
    </w:p>
    <w:p>
      <w:pPr>
        <w:keepNext/>
        <w:spacing w:before="180"/>
      </w:pPr>
      <w:r>
        <w:rPr>
          <w:rFonts w:ascii="IBM Plex Mono" w:hAnsi="IBM Plex Mono" w:cs="IBM Plex Mono"/>
          <w:b/>
          <w:color w:val="0E8E66"/>
          <w:sz w:val="19"/>
        </w:rPr>
        <w:t>IPS-02</w:t>
      </w:r>
      <w:r>
        <w:rPr>
          <w:rFonts w:ascii="IBM Plex Sans" w:hAnsi="IBM Plex Sans" w:cs="IBM Plex Sans"/>
          <w:b/>
          <w:color w:val="0B0E11"/>
          <w:sz w:val="21"/>
        </w:rPr>
        <w:t xml:space="preserve">   Maintain a Rule Review and Optimization Process</w:t>
      </w:r>
    </w:p>
    <w:p>
      <w:pPr/>
      <w:r>
        <w:t>A documented process shall be in place to periodically review, validate, and optimize firewall and IPS rule sets, removing obsolete, overly permissive, or unused rules.</w:t>
      </w:r>
    </w:p>
    <w:p>
      <w:pPr>
        <w:keepNext/>
        <w:spacing w:before="180"/>
      </w:pPr>
      <w:r>
        <w:rPr>
          <w:rFonts w:ascii="IBM Plex Mono" w:hAnsi="IBM Plex Mono" w:cs="IBM Plex Mono"/>
          <w:b/>
          <w:color w:val="0E8E66"/>
          <w:sz w:val="19"/>
        </w:rPr>
        <w:t>IPS-03</w:t>
      </w:r>
      <w:r>
        <w:rPr>
          <w:rFonts w:ascii="IBM Plex Sans" w:hAnsi="IBM Plex Sans" w:cs="IBM Plex Sans"/>
          <w:b/>
          <w:color w:val="0B0E11"/>
          <w:sz w:val="21"/>
        </w:rPr>
        <w:t xml:space="preserve">   Enforce Default-Deny Policies on All Firewalls</w:t>
      </w:r>
    </w:p>
    <w:p>
      <w:pPr/>
      <w:r>
        <w:t>All firewalls shall operate on a “default deny” basis, explicitly permitting only known, necessary, and authorized traffic, with all other traffic denied by default.</w:t>
      </w:r>
    </w:p>
    <w:p>
      <w:pPr>
        <w:keepNext/>
        <w:spacing w:before="180"/>
      </w:pPr>
      <w:r>
        <w:rPr>
          <w:rFonts w:ascii="IBM Plex Mono" w:hAnsi="IBM Plex Mono" w:cs="IBM Plex Mono"/>
          <w:b/>
          <w:color w:val="0E8E66"/>
          <w:sz w:val="19"/>
        </w:rPr>
        <w:t>IPS-04</w:t>
      </w:r>
      <w:r>
        <w:rPr>
          <w:rFonts w:ascii="IBM Plex Sans" w:hAnsi="IBM Plex Sans" w:cs="IBM Plex Sans"/>
          <w:b/>
          <w:color w:val="0B0E11"/>
          <w:sz w:val="21"/>
        </w:rPr>
        <w:t xml:space="preserve">   Deploy IDS/IPS Capabilities at High-Risk Network Points</w:t>
      </w:r>
    </w:p>
    <w:p>
      <w:pPr/>
      <w:r>
        <w:t>Intrusion Detection and/or Prevention Systems shall be deployed at points where critical systems reside, where traffic enters/exits the network, or where sensitive data is processed.</w:t>
      </w:r>
    </w:p>
    <w:p>
      <w:pPr>
        <w:keepNext/>
        <w:spacing w:before="180"/>
      </w:pPr>
      <w:r>
        <w:rPr>
          <w:rFonts w:ascii="IBM Plex Mono" w:hAnsi="IBM Plex Mono" w:cs="IBM Plex Mono"/>
          <w:b/>
          <w:color w:val="0E8E66"/>
          <w:sz w:val="19"/>
        </w:rPr>
        <w:t>IPS-05</w:t>
      </w:r>
      <w:r>
        <w:rPr>
          <w:rFonts w:ascii="IBM Plex Sans" w:hAnsi="IBM Plex Sans" w:cs="IBM Plex Sans"/>
          <w:b/>
          <w:color w:val="0B0E11"/>
          <w:sz w:val="21"/>
        </w:rPr>
        <w:t xml:space="preserve">   Enable Deep Packet Inspection (DPI) Where Feasible</w:t>
      </w:r>
    </w:p>
    <w:p>
      <w:pPr/>
      <w:r>
        <w:t>Where system performance permits, IDS/IPS systems shall be configured for deep packet inspection to identify application-layer threats and evasive attack techniques.</w:t>
      </w:r>
    </w:p>
    <w:p>
      <w:pPr>
        <w:keepNext/>
        <w:spacing w:before="180"/>
      </w:pPr>
      <w:r>
        <w:rPr>
          <w:rFonts w:ascii="IBM Plex Mono" w:hAnsi="IBM Plex Mono" w:cs="IBM Plex Mono"/>
          <w:b/>
          <w:color w:val="0E8E66"/>
          <w:sz w:val="19"/>
        </w:rPr>
        <w:t>IPS-06</w:t>
      </w:r>
      <w:r>
        <w:rPr>
          <w:rFonts w:ascii="IBM Plex Sans" w:hAnsi="IBM Plex Sans" w:cs="IBM Plex Sans"/>
          <w:b/>
          <w:color w:val="0B0E11"/>
          <w:sz w:val="21"/>
        </w:rPr>
        <w:t xml:space="preserve">   Integrate Threat Intelligence into IPS Signatures</w:t>
      </w:r>
    </w:p>
    <w:p>
      <w:pPr/>
      <w:r>
        <w:t>Organizations shall configure IPS devices to ingest and apply external and internal threat intelligence feeds for timely detection of known attack indicators.</w:t>
      </w:r>
    </w:p>
    <w:p>
      <w:pPr>
        <w:keepNext/>
        <w:spacing w:before="180"/>
      </w:pPr>
      <w:r>
        <w:rPr>
          <w:rFonts w:ascii="IBM Plex Mono" w:hAnsi="IBM Plex Mono" w:cs="IBM Plex Mono"/>
          <w:b/>
          <w:color w:val="0E8E66"/>
          <w:sz w:val="19"/>
        </w:rPr>
        <w:t>IPS-07</w:t>
      </w:r>
      <w:r>
        <w:rPr>
          <w:rFonts w:ascii="IBM Plex Sans" w:hAnsi="IBM Plex Sans" w:cs="IBM Plex Sans"/>
          <w:b/>
          <w:color w:val="0B0E11"/>
          <w:sz w:val="21"/>
        </w:rPr>
        <w:t xml:space="preserve">   Segregate Management Interfaces for Security Appliances</w:t>
      </w:r>
    </w:p>
    <w:p>
      <w:pPr/>
      <w:r>
        <w:t>Firewall and IDS/IPS management interfaces shall be logically or physically isolated from production networks and accessible only through secured administrative zones.</w:t>
      </w:r>
    </w:p>
    <w:p>
      <w:pPr>
        <w:keepNext/>
        <w:spacing w:before="180"/>
      </w:pPr>
      <w:r>
        <w:rPr>
          <w:rFonts w:ascii="IBM Plex Mono" w:hAnsi="IBM Plex Mono" w:cs="IBM Plex Mono"/>
          <w:b/>
          <w:color w:val="0E8E66"/>
          <w:sz w:val="19"/>
        </w:rPr>
        <w:t>IPS-08</w:t>
      </w:r>
      <w:r>
        <w:rPr>
          <w:rFonts w:ascii="IBM Plex Sans" w:hAnsi="IBM Plex Sans" w:cs="IBM Plex Sans"/>
          <w:b/>
          <w:color w:val="0B0E11"/>
          <w:sz w:val="21"/>
        </w:rPr>
        <w:t xml:space="preserve">   Alert on and Block Known Malicious Payloads</w:t>
      </w:r>
    </w:p>
    <w:p>
      <w:pPr/>
      <w:r>
        <w:t>IPS configurations shall include signature-based and behavior-based mechanisms to detect and block known malicious payloads, including exploits, malware, and command-and-control traffic.</w:t>
      </w:r>
    </w:p>
    <w:p>
      <w:pPr>
        <w:keepNext/>
        <w:spacing w:before="180"/>
      </w:pPr>
      <w:r>
        <w:rPr>
          <w:rFonts w:ascii="IBM Plex Mono" w:hAnsi="IBM Plex Mono" w:cs="IBM Plex Mono"/>
          <w:b/>
          <w:color w:val="0E8E66"/>
          <w:sz w:val="19"/>
        </w:rPr>
        <w:t>IPS-09</w:t>
      </w:r>
      <w:r>
        <w:rPr>
          <w:rFonts w:ascii="IBM Plex Sans" w:hAnsi="IBM Plex Sans" w:cs="IBM Plex Sans"/>
          <w:b/>
          <w:color w:val="0B0E11"/>
          <w:sz w:val="21"/>
        </w:rPr>
        <w:t xml:space="preserve">   Use Firewall Zones and Interfaces to Enforce Policy</w:t>
      </w:r>
    </w:p>
    <w:p>
      <w:pPr/>
      <w:r>
        <w:t>Firewall interfaces shall be logically segmented into distinct security zones (e.g., internal, external, DMZ) with policies uniquely defined for each zone-to-zone interaction.</w:t>
      </w:r>
    </w:p>
    <w:p>
      <w:pPr>
        <w:keepNext/>
        <w:spacing w:before="180"/>
      </w:pPr>
      <w:r>
        <w:rPr>
          <w:rFonts w:ascii="IBM Plex Mono" w:hAnsi="IBM Plex Mono" w:cs="IBM Plex Mono"/>
          <w:b/>
          <w:color w:val="0E8E66"/>
          <w:sz w:val="19"/>
        </w:rPr>
        <w:t>IPS-10</w:t>
      </w:r>
      <w:r>
        <w:rPr>
          <w:rFonts w:ascii="IBM Plex Sans" w:hAnsi="IBM Plex Sans" w:cs="IBM Plex Sans"/>
          <w:b/>
          <w:color w:val="0B0E11"/>
          <w:sz w:val="21"/>
        </w:rPr>
        <w:t xml:space="preserve">   Log All Allowed and Denied Connections</w:t>
      </w:r>
    </w:p>
    <w:p>
      <w:pPr/>
      <w:r>
        <w:t>Firewalls and IDS/IPS systems shall log all allowed and denied connection attempts with full metadata, enabling detailed event reconstruction and forensic analysis.</w:t>
      </w:r>
    </w:p>
    <w:p>
      <w:pPr>
        <w:keepNext/>
        <w:spacing w:before="180"/>
      </w:pPr>
      <w:r>
        <w:rPr>
          <w:rFonts w:ascii="IBM Plex Mono" w:hAnsi="IBM Plex Mono" w:cs="IBM Plex Mono"/>
          <w:b/>
          <w:color w:val="0E8E66"/>
          <w:sz w:val="19"/>
        </w:rPr>
        <w:t>IPS-11</w:t>
      </w:r>
      <w:r>
        <w:rPr>
          <w:rFonts w:ascii="IBM Plex Sans" w:hAnsi="IBM Plex Sans" w:cs="IBM Plex Sans"/>
          <w:b/>
          <w:color w:val="0B0E11"/>
          <w:sz w:val="21"/>
        </w:rPr>
        <w:t xml:space="preserve">   Implement Egress Filtering for Data Exfiltration Prevention</w:t>
      </w:r>
    </w:p>
    <w:p>
      <w:pPr/>
      <w:r>
        <w:t>Outbound traffic from enterprise networks shall be filtered through firewalls to restrict unauthorized destinations, prevent tunneling, and detect exfiltration attempts.</w:t>
      </w:r>
    </w:p>
    <w:p>
      <w:pPr>
        <w:keepNext/>
        <w:spacing w:before="180"/>
      </w:pPr>
      <w:r>
        <w:rPr>
          <w:rFonts w:ascii="IBM Plex Mono" w:hAnsi="IBM Plex Mono" w:cs="IBM Plex Mono"/>
          <w:b/>
          <w:color w:val="0E8E66"/>
          <w:sz w:val="19"/>
        </w:rPr>
        <w:t>IPS-12</w:t>
      </w:r>
      <w:r>
        <w:rPr>
          <w:rFonts w:ascii="IBM Plex Sans" w:hAnsi="IBM Plex Sans" w:cs="IBM Plex Sans"/>
          <w:b/>
          <w:color w:val="0B0E11"/>
          <w:sz w:val="21"/>
        </w:rPr>
        <w:t xml:space="preserve">   Maintain Real-Time IDS/IPS Signature Updates</w:t>
      </w:r>
    </w:p>
    <w:p>
      <w:pPr/>
      <w:r>
        <w:t>All IDS/IPS platforms shall be configured to automatically download and apply the latest vendor and community-driven signature updates on a scheduled or real-time basis.</w:t>
      </w:r>
    </w:p>
    <w:p>
      <w:pPr>
        <w:keepNext/>
        <w:spacing w:before="180"/>
      </w:pPr>
      <w:r>
        <w:rPr>
          <w:rFonts w:ascii="IBM Plex Mono" w:hAnsi="IBM Plex Mono" w:cs="IBM Plex Mono"/>
          <w:b/>
          <w:color w:val="0E8E66"/>
          <w:sz w:val="19"/>
        </w:rPr>
        <w:t>IPS-13</w:t>
      </w:r>
      <w:r>
        <w:rPr>
          <w:rFonts w:ascii="IBM Plex Sans" w:hAnsi="IBM Plex Sans" w:cs="IBM Plex Sans"/>
          <w:b/>
          <w:color w:val="0B0E11"/>
          <w:sz w:val="21"/>
        </w:rPr>
        <w:t xml:space="preserve">   Test IPS Policies in Detection Mode Prior to Prevention</w:t>
      </w:r>
    </w:p>
    <w:p>
      <w:pPr/>
      <w:r>
        <w:t>New or updated IPS policies shall be tested in detection mode to assess potential impact on legitimate traffic before enabling blocking or prevention actions.</w:t>
      </w:r>
    </w:p>
    <w:p>
      <w:pPr>
        <w:keepNext/>
        <w:spacing w:before="180"/>
      </w:pPr>
      <w:r>
        <w:rPr>
          <w:rFonts w:ascii="IBM Plex Mono" w:hAnsi="IBM Plex Mono" w:cs="IBM Plex Mono"/>
          <w:b/>
          <w:color w:val="0E8E66"/>
          <w:sz w:val="19"/>
        </w:rPr>
        <w:t>IPS-14</w:t>
      </w:r>
      <w:r>
        <w:rPr>
          <w:rFonts w:ascii="IBM Plex Sans" w:hAnsi="IBM Plex Sans" w:cs="IBM Plex Sans"/>
          <w:b/>
          <w:color w:val="0B0E11"/>
          <w:sz w:val="21"/>
        </w:rPr>
        <w:t xml:space="preserve">   Enable Geo-IP Filtering Where Applicable</w:t>
      </w:r>
    </w:p>
    <w:p>
      <w:pPr/>
      <w:r>
        <w:t>Organizations shall use firewall capabilities to enforce geo-IP restrictions, blocking or monitoring traffic from regions with no business necessity or elevated threat risk.</w:t>
      </w:r>
    </w:p>
    <w:p>
      <w:pPr>
        <w:keepNext/>
        <w:spacing w:before="180"/>
      </w:pPr>
      <w:r>
        <w:rPr>
          <w:rFonts w:ascii="IBM Plex Mono" w:hAnsi="IBM Plex Mono" w:cs="IBM Plex Mono"/>
          <w:b/>
          <w:color w:val="0E8E66"/>
          <w:sz w:val="19"/>
        </w:rPr>
        <w:t>IPS-15</w:t>
      </w:r>
      <w:r>
        <w:rPr>
          <w:rFonts w:ascii="IBM Plex Sans" w:hAnsi="IBM Plex Sans" w:cs="IBM Plex Sans"/>
          <w:b/>
          <w:color w:val="0B0E11"/>
          <w:sz w:val="21"/>
        </w:rPr>
        <w:t xml:space="preserve">   Use Application-Layer Gateways (ALGs) for Specific Protocols</w:t>
      </w:r>
    </w:p>
    <w:p>
      <w:pPr/>
      <w:r>
        <w:t>For protocols that require inspection beyond layer 4 (e.g., SIP, FTP), firewalls shall use application-layer gateways or equivalent mechanisms to manage dynamic port behavior securely.</w:t>
      </w:r>
    </w:p>
    <w:p>
      <w:pPr>
        <w:keepNext/>
        <w:spacing w:before="180"/>
      </w:pPr>
      <w:r>
        <w:rPr>
          <w:rFonts w:ascii="IBM Plex Mono" w:hAnsi="IBM Plex Mono" w:cs="IBM Plex Mono"/>
          <w:b/>
          <w:color w:val="0E8E66"/>
          <w:sz w:val="19"/>
        </w:rPr>
        <w:t>IPS-16</w:t>
      </w:r>
      <w:r>
        <w:rPr>
          <w:rFonts w:ascii="IBM Plex Sans" w:hAnsi="IBM Plex Sans" w:cs="IBM Plex Sans"/>
          <w:b/>
          <w:color w:val="0B0E11"/>
          <w:sz w:val="21"/>
        </w:rPr>
        <w:t xml:space="preserve">   Restrict Administrative Access by Source IP and Method</w:t>
      </w:r>
    </w:p>
    <w:p>
      <w:pPr/>
      <w:r>
        <w:t>Access to firewall and IDS/IPS management consoles shall be limited by source IP, protocol, and method (e.g., SSH with MFA only from jump hosts) to reduce attack surface.</w:t>
      </w:r>
    </w:p>
    <w:p>
      <w:pPr>
        <w:keepNext/>
        <w:spacing w:before="180"/>
      </w:pPr>
      <w:r>
        <w:rPr>
          <w:rFonts w:ascii="IBM Plex Mono" w:hAnsi="IBM Plex Mono" w:cs="IBM Plex Mono"/>
          <w:b/>
          <w:color w:val="0E8E66"/>
          <w:sz w:val="19"/>
        </w:rPr>
        <w:t>IPS-17</w:t>
      </w:r>
      <w:r>
        <w:rPr>
          <w:rFonts w:ascii="IBM Plex Sans" w:hAnsi="IBM Plex Sans" w:cs="IBM Plex Sans"/>
          <w:b/>
          <w:color w:val="0B0E11"/>
          <w:sz w:val="21"/>
        </w:rPr>
        <w:t xml:space="preserve">   Conduct Rule Impact Simulations Before Deployment</w:t>
      </w:r>
    </w:p>
    <w:p>
      <w:pPr/>
      <w:r>
        <w:t>Firewall rule changes shall undergo simulation or staging to validate expected behavior, avoid unintentional service disruption, and identify conflict with existing rules.</w:t>
      </w:r>
    </w:p>
    <w:p>
      <w:pPr>
        <w:keepNext/>
        <w:spacing w:before="180"/>
      </w:pPr>
      <w:r>
        <w:rPr>
          <w:rFonts w:ascii="IBM Plex Mono" w:hAnsi="IBM Plex Mono" w:cs="IBM Plex Mono"/>
          <w:b/>
          <w:color w:val="0E8E66"/>
          <w:sz w:val="19"/>
        </w:rPr>
        <w:t>IPS-18</w:t>
      </w:r>
      <w:r>
        <w:rPr>
          <w:rFonts w:ascii="IBM Plex Sans" w:hAnsi="IBM Plex Sans" w:cs="IBM Plex Sans"/>
          <w:b/>
          <w:color w:val="0B0E11"/>
          <w:sz w:val="21"/>
        </w:rPr>
        <w:t xml:space="preserve">   Tune IDS/IPS for Environment-Specific Noise Reduction</w:t>
      </w:r>
    </w:p>
    <w:p>
      <w:pPr/>
      <w:r>
        <w:t>IDS/IPS systems shall be tuned regularly to suppress benign or expected alerts (false positives) based on contextual awareness of the organization’s systems and applications.</w:t>
      </w:r>
    </w:p>
    <w:p>
      <w:pPr>
        <w:keepNext/>
        <w:spacing w:before="180"/>
      </w:pPr>
      <w:r>
        <w:rPr>
          <w:rFonts w:ascii="IBM Plex Mono" w:hAnsi="IBM Plex Mono" w:cs="IBM Plex Mono"/>
          <w:b/>
          <w:color w:val="0E8E66"/>
          <w:sz w:val="19"/>
        </w:rPr>
        <w:t>IPS-19</w:t>
      </w:r>
      <w:r>
        <w:rPr>
          <w:rFonts w:ascii="IBM Plex Sans" w:hAnsi="IBM Plex Sans" w:cs="IBM Plex Sans"/>
          <w:b/>
          <w:color w:val="0B0E11"/>
          <w:sz w:val="21"/>
        </w:rPr>
        <w:t xml:space="preserve">   Monitor Encrypted Traffic at Ingress and Egress Points</w:t>
      </w:r>
    </w:p>
    <w:p>
      <w:pPr/>
      <w:r>
        <w:t>Where feasible, encrypted traffic shall be decrypted and inspected at firewall or proxy layers to detect threats otherwise hidden from IDS/IPS visibility.</w:t>
      </w:r>
    </w:p>
    <w:p>
      <w:pPr>
        <w:keepNext/>
        <w:spacing w:before="180"/>
      </w:pPr>
      <w:r>
        <w:rPr>
          <w:rFonts w:ascii="IBM Plex Mono" w:hAnsi="IBM Plex Mono" w:cs="IBM Plex Mono"/>
          <w:b/>
          <w:color w:val="0E8E66"/>
          <w:sz w:val="19"/>
        </w:rPr>
        <w:t>IPS-20</w:t>
      </w:r>
      <w:r>
        <w:rPr>
          <w:rFonts w:ascii="IBM Plex Sans" w:hAnsi="IBM Plex Sans" w:cs="IBM Plex Sans"/>
          <w:b/>
          <w:color w:val="0B0E11"/>
          <w:sz w:val="21"/>
        </w:rPr>
        <w:t xml:space="preserve">   Document All Approved Services and Ports Per Zone</w:t>
      </w:r>
    </w:p>
    <w:p>
      <w:pPr/>
      <w:r>
        <w:t>All allowed ports, protocols, and services for each security zone shall be documented, reviewed quarterly, and aligned with business and security requirements.</w:t>
      </w:r>
    </w:p>
    <w:p>
      <w:pPr>
        <w:keepNext/>
        <w:spacing w:before="180"/>
      </w:pPr>
      <w:r>
        <w:rPr>
          <w:rFonts w:ascii="IBM Plex Mono" w:hAnsi="IBM Plex Mono" w:cs="IBM Plex Mono"/>
          <w:b/>
          <w:color w:val="0E8E66"/>
          <w:sz w:val="19"/>
        </w:rPr>
        <w:t>IPS-21</w:t>
      </w:r>
      <w:r>
        <w:rPr>
          <w:rFonts w:ascii="IBM Plex Sans" w:hAnsi="IBM Plex Sans" w:cs="IBM Plex Sans"/>
          <w:b/>
          <w:color w:val="0B0E11"/>
          <w:sz w:val="21"/>
        </w:rPr>
        <w:t xml:space="preserve">   Establish Firewall Rule Lifecycle Management Procedures</w:t>
      </w:r>
    </w:p>
    <w:p>
      <w:pPr/>
      <w:r>
        <w:t>Firewall rules shall include metadata such as owner, purpose, expiration date, and review schedule to enforce governance and prevent rule sprawl.</w:t>
      </w:r>
    </w:p>
    <w:p>
      <w:pPr>
        <w:keepNext/>
        <w:spacing w:before="180"/>
      </w:pPr>
      <w:r>
        <w:rPr>
          <w:rFonts w:ascii="IBM Plex Mono" w:hAnsi="IBM Plex Mono" w:cs="IBM Plex Mono"/>
          <w:b/>
          <w:color w:val="0E8E66"/>
          <w:sz w:val="19"/>
        </w:rPr>
        <w:t>IPS-22</w:t>
      </w:r>
      <w:r>
        <w:rPr>
          <w:rFonts w:ascii="IBM Plex Sans" w:hAnsi="IBM Plex Sans" w:cs="IBM Plex Sans"/>
          <w:b/>
          <w:color w:val="0B0E11"/>
          <w:sz w:val="21"/>
        </w:rPr>
        <w:t xml:space="preserve">   Integrate IDS/IPS Alerts with Centralized SIEM</w:t>
      </w:r>
    </w:p>
    <w:p>
      <w:pPr/>
      <w:r>
        <w:t>All IDS/IPS alerts shall be forwarded to a centralized security information and event management (SIEM) platform with appropriate tagging for correlation and incident triage.</w:t>
      </w:r>
    </w:p>
    <w:p>
      <w:pPr>
        <w:pStyle w:val="Kicker"/>
      </w:pPr>
      <w:r>
        <w:t>// control family</w:t>
      </w:r>
    </w:p>
    <w:p>
      <w:pPr>
        <w:pStyle w:val="Heading2"/>
      </w:pPr>
      <w:r>
        <w:t>Software-Defined Networking Security (SDN)</w:t>
      </w:r>
    </w:p>
    <w:p>
      <w:pPr/>
      <w:r>
        <w:t>Software-Defined Networking (SDN) enables centralized control over network traffic flows, abstracting hardware control planes to enhance agility and automation. However, SDN also introduces novel security challenges such as controller compromise, insecure APIs, and lateral policy misconfigurations. This control family addresses the unique security requirements for protecting SDN architectures, including controller security, flow rule integrity, orchestration layer protections, and tenant isolation in dynamic, programmable network environments.</w:t>
      </w:r>
    </w:p>
    <w:p>
      <w:pPr>
        <w:keepNext/>
        <w:spacing w:before="180"/>
      </w:pPr>
      <w:r>
        <w:rPr>
          <w:rFonts w:ascii="IBM Plex Mono" w:hAnsi="IBM Plex Mono" w:cs="IBM Plex Mono"/>
          <w:b/>
          <w:color w:val="0E8E66"/>
          <w:sz w:val="19"/>
        </w:rPr>
        <w:t>SDN-01</w:t>
      </w:r>
      <w:r>
        <w:rPr>
          <w:rFonts w:ascii="IBM Plex Sans" w:hAnsi="IBM Plex Sans" w:cs="IBM Plex Sans"/>
          <w:b/>
          <w:color w:val="0B0E11"/>
          <w:sz w:val="21"/>
        </w:rPr>
        <w:t xml:space="preserve">   Secure the SDN Controller as a High-Value Asset</w:t>
      </w:r>
    </w:p>
    <w:p>
      <w:pPr/>
      <w:r>
        <w:t>The SDN controller shall be treated as a mission-critical asset, with hardened configurations, access controls, and monitoring mechanisms to detect compromise or unauthorized modifications.</w:t>
      </w:r>
    </w:p>
    <w:p>
      <w:pPr>
        <w:keepNext/>
        <w:spacing w:before="180"/>
      </w:pPr>
      <w:r>
        <w:rPr>
          <w:rFonts w:ascii="IBM Plex Mono" w:hAnsi="IBM Plex Mono" w:cs="IBM Plex Mono"/>
          <w:b/>
          <w:color w:val="0E8E66"/>
          <w:sz w:val="19"/>
        </w:rPr>
        <w:t>SDN-02</w:t>
      </w:r>
      <w:r>
        <w:rPr>
          <w:rFonts w:ascii="IBM Plex Sans" w:hAnsi="IBM Plex Sans" w:cs="IBM Plex Sans"/>
          <w:b/>
          <w:color w:val="0B0E11"/>
          <w:sz w:val="21"/>
        </w:rPr>
        <w:t xml:space="preserve">   Enforce Mutual Authentication Between Controller and Switches</w:t>
      </w:r>
    </w:p>
    <w:p>
      <w:pPr/>
      <w:r>
        <w:t>All communications between SDN controllers and data plane devices (e.g., switches, routers) shall be mutually authenticated using certificates or cryptographic keys.</w:t>
      </w:r>
    </w:p>
    <w:p>
      <w:pPr>
        <w:keepNext/>
        <w:spacing w:before="180"/>
      </w:pPr>
      <w:r>
        <w:rPr>
          <w:rFonts w:ascii="IBM Plex Mono" w:hAnsi="IBM Plex Mono" w:cs="IBM Plex Mono"/>
          <w:b/>
          <w:color w:val="0E8E66"/>
          <w:sz w:val="19"/>
        </w:rPr>
        <w:t>SDN-03</w:t>
      </w:r>
      <w:r>
        <w:rPr>
          <w:rFonts w:ascii="IBM Plex Sans" w:hAnsi="IBM Plex Sans" w:cs="IBM Plex Sans"/>
          <w:b/>
          <w:color w:val="0B0E11"/>
          <w:sz w:val="21"/>
        </w:rPr>
        <w:t xml:space="preserve">   Isolate SDN Control Traffic from Production Networks</w:t>
      </w:r>
    </w:p>
    <w:p>
      <w:pPr/>
      <w:r>
        <w:t>Control plane communications between the SDN controller and network devices shall be logically or physically isolated from data plane and management plane traffic.</w:t>
      </w:r>
    </w:p>
    <w:p>
      <w:pPr>
        <w:keepNext/>
        <w:spacing w:before="180"/>
      </w:pPr>
      <w:r>
        <w:rPr>
          <w:rFonts w:ascii="IBM Plex Mono" w:hAnsi="IBM Plex Mono" w:cs="IBM Plex Mono"/>
          <w:b/>
          <w:color w:val="0E8E66"/>
          <w:sz w:val="19"/>
        </w:rPr>
        <w:t>SDN-04</w:t>
      </w:r>
      <w:r>
        <w:rPr>
          <w:rFonts w:ascii="IBM Plex Sans" w:hAnsi="IBM Plex Sans" w:cs="IBM Plex Sans"/>
          <w:b/>
          <w:color w:val="0B0E11"/>
          <w:sz w:val="21"/>
        </w:rPr>
        <w:t xml:space="preserve">   Implement RBAC for Controller API Access</w:t>
      </w:r>
    </w:p>
    <w:p>
      <w:pPr/>
      <w:r>
        <w:t>Role-Based Access Control shall be enforced on all northbound and southbound controller APIs, limiting access based on user roles, job function, and administrative scope.</w:t>
      </w:r>
    </w:p>
    <w:p>
      <w:pPr>
        <w:keepNext/>
        <w:spacing w:before="180"/>
      </w:pPr>
      <w:r>
        <w:rPr>
          <w:rFonts w:ascii="IBM Plex Mono" w:hAnsi="IBM Plex Mono" w:cs="IBM Plex Mono"/>
          <w:b/>
          <w:color w:val="0E8E66"/>
          <w:sz w:val="19"/>
        </w:rPr>
        <w:t>SDN-05</w:t>
      </w:r>
      <w:r>
        <w:rPr>
          <w:rFonts w:ascii="IBM Plex Sans" w:hAnsi="IBM Plex Sans" w:cs="IBM Plex Sans"/>
          <w:b/>
          <w:color w:val="0B0E11"/>
          <w:sz w:val="21"/>
        </w:rPr>
        <w:t xml:space="preserve">   Monitor for Unauthorized Flow Rule Injection</w:t>
      </w:r>
    </w:p>
    <w:p>
      <w:pPr/>
      <w:r>
        <w:t>Mechanisms shall be in place to detect and alert on unauthorized or anomalous flow rule insertions or deletions within the SDN environment.</w:t>
      </w:r>
    </w:p>
    <w:p>
      <w:pPr>
        <w:keepNext/>
        <w:spacing w:before="180"/>
      </w:pPr>
      <w:r>
        <w:rPr>
          <w:rFonts w:ascii="IBM Plex Mono" w:hAnsi="IBM Plex Mono" w:cs="IBM Plex Mono"/>
          <w:b/>
          <w:color w:val="0E8E66"/>
          <w:sz w:val="19"/>
        </w:rPr>
        <w:t>SDN-06</w:t>
      </w:r>
      <w:r>
        <w:rPr>
          <w:rFonts w:ascii="IBM Plex Sans" w:hAnsi="IBM Plex Sans" w:cs="IBM Plex Sans"/>
          <w:b/>
          <w:color w:val="0B0E11"/>
          <w:sz w:val="21"/>
        </w:rPr>
        <w:t xml:space="preserve">   Encrypt Controller-to-Application and Controller-to-Device Communications</w:t>
      </w:r>
    </w:p>
    <w:p>
      <w:pPr/>
      <w:r>
        <w:t>All API and messaging communications between the controller and applications (northbound) and between controller and switches (southbound) shall be encrypted using TLS or equivalent protocols.</w:t>
      </w:r>
    </w:p>
    <w:p>
      <w:pPr>
        <w:keepNext/>
        <w:spacing w:before="180"/>
      </w:pPr>
      <w:r>
        <w:rPr>
          <w:rFonts w:ascii="IBM Plex Mono" w:hAnsi="IBM Plex Mono" w:cs="IBM Plex Mono"/>
          <w:b/>
          <w:color w:val="0E8E66"/>
          <w:sz w:val="19"/>
        </w:rPr>
        <w:t>SDN-07</w:t>
      </w:r>
      <w:r>
        <w:rPr>
          <w:rFonts w:ascii="IBM Plex Sans" w:hAnsi="IBM Plex Sans" w:cs="IBM Plex Sans"/>
          <w:b/>
          <w:color w:val="0B0E11"/>
          <w:sz w:val="21"/>
        </w:rPr>
        <w:t xml:space="preserve">   Apply Policy Validation Before Flow Rule Deployment</w:t>
      </w:r>
    </w:p>
    <w:p>
      <w:pPr/>
      <w:r>
        <w:t>All flow rules shall be validated against defined network security policies before being pushed to data plane devices to prevent rule conflicts or unauthorized access paths.</w:t>
      </w:r>
    </w:p>
    <w:p>
      <w:pPr>
        <w:keepNext/>
        <w:spacing w:before="180"/>
      </w:pPr>
      <w:r>
        <w:rPr>
          <w:rFonts w:ascii="IBM Plex Mono" w:hAnsi="IBM Plex Mono" w:cs="IBM Plex Mono"/>
          <w:b/>
          <w:color w:val="0E8E66"/>
          <w:sz w:val="19"/>
        </w:rPr>
        <w:t>SDN-08</w:t>
      </w:r>
      <w:r>
        <w:rPr>
          <w:rFonts w:ascii="IBM Plex Sans" w:hAnsi="IBM Plex Sans" w:cs="IBM Plex Sans"/>
          <w:b/>
          <w:color w:val="0B0E11"/>
          <w:sz w:val="21"/>
        </w:rPr>
        <w:t xml:space="preserve">   Log All Controller API Interactions</w:t>
      </w:r>
    </w:p>
    <w:p>
      <w:pPr/>
      <w:r>
        <w:t>Comprehensive logging shall be enabled for all interactions with the SDN controller’s APIs, including configuration changes, authentication attempts, and flow deployments.</w:t>
      </w:r>
    </w:p>
    <w:p>
      <w:pPr>
        <w:keepNext/>
        <w:spacing w:before="180"/>
      </w:pPr>
      <w:r>
        <w:rPr>
          <w:rFonts w:ascii="IBM Plex Mono" w:hAnsi="IBM Plex Mono" w:cs="IBM Plex Mono"/>
          <w:b/>
          <w:color w:val="0E8E66"/>
          <w:sz w:val="19"/>
        </w:rPr>
        <w:t>SDN-09</w:t>
      </w:r>
      <w:r>
        <w:rPr>
          <w:rFonts w:ascii="IBM Plex Sans" w:hAnsi="IBM Plex Sans" w:cs="IBM Plex Sans"/>
          <w:b/>
          <w:color w:val="0B0E11"/>
          <w:sz w:val="21"/>
        </w:rPr>
        <w:t xml:space="preserve">   Implement High Availability for SDN Controllers</w:t>
      </w:r>
    </w:p>
    <w:p>
      <w:pPr/>
      <w:r>
        <w:t>Redundant controller nodes shall be deployed to ensure failover capability, eliminate single points of failure, and protect against availability-based attacks.</w:t>
      </w:r>
    </w:p>
    <w:p>
      <w:pPr>
        <w:keepNext/>
        <w:spacing w:before="180"/>
      </w:pPr>
      <w:r>
        <w:rPr>
          <w:rFonts w:ascii="IBM Plex Mono" w:hAnsi="IBM Plex Mono" w:cs="IBM Plex Mono"/>
          <w:b/>
          <w:color w:val="0E8E66"/>
          <w:sz w:val="19"/>
        </w:rPr>
        <w:t>SDN-10</w:t>
      </w:r>
      <w:r>
        <w:rPr>
          <w:rFonts w:ascii="IBM Plex Sans" w:hAnsi="IBM Plex Sans" w:cs="IBM Plex Sans"/>
          <w:b/>
          <w:color w:val="0B0E11"/>
          <w:sz w:val="21"/>
        </w:rPr>
        <w:t xml:space="preserve">   Segregate Tenants in Multi-Tenant SDN Environments</w:t>
      </w:r>
    </w:p>
    <w:p>
      <w:pPr/>
      <w:r>
        <w:t>Multi-tenant SDN deployments shall enforce strict logical isolation between tenants at both the orchestration and data plane levels to prevent unauthorized access or leakage.</w:t>
      </w:r>
    </w:p>
    <w:p>
      <w:pPr>
        <w:keepNext/>
        <w:spacing w:before="180"/>
      </w:pPr>
      <w:r>
        <w:rPr>
          <w:rFonts w:ascii="IBM Plex Mono" w:hAnsi="IBM Plex Mono" w:cs="IBM Plex Mono"/>
          <w:b/>
          <w:color w:val="0E8E66"/>
          <w:sz w:val="19"/>
        </w:rPr>
        <w:t>SDN-11</w:t>
      </w:r>
      <w:r>
        <w:rPr>
          <w:rFonts w:ascii="IBM Plex Sans" w:hAnsi="IBM Plex Sans" w:cs="IBM Plex Sans"/>
          <w:b/>
          <w:color w:val="0B0E11"/>
          <w:sz w:val="21"/>
        </w:rPr>
        <w:t xml:space="preserve">   Validate Controller Software Integrity</w:t>
      </w:r>
    </w:p>
    <w:p>
      <w:pPr/>
      <w:r>
        <w:t>All controller software images and updates shall be verified via cryptographic hash or signature validation to prevent installation of tampered or malicious code.</w:t>
      </w:r>
    </w:p>
    <w:p>
      <w:pPr>
        <w:keepNext/>
        <w:spacing w:before="180"/>
      </w:pPr>
      <w:r>
        <w:rPr>
          <w:rFonts w:ascii="IBM Plex Mono" w:hAnsi="IBM Plex Mono" w:cs="IBM Plex Mono"/>
          <w:b/>
          <w:color w:val="0E8E66"/>
          <w:sz w:val="19"/>
        </w:rPr>
        <w:t>SDN-12</w:t>
      </w:r>
      <w:r>
        <w:rPr>
          <w:rFonts w:ascii="IBM Plex Sans" w:hAnsi="IBM Plex Sans" w:cs="IBM Plex Sans"/>
          <w:b/>
          <w:color w:val="0B0E11"/>
          <w:sz w:val="21"/>
        </w:rPr>
        <w:t xml:space="preserve">   Define and Enforce Flow Timeout Policies</w:t>
      </w:r>
    </w:p>
    <w:p>
      <w:pPr/>
      <w:r>
        <w:t>Flow rules shall have defined timeout periods and automatic expiry parameters to reduce stale rule accumulation and eliminate unauthorized persistent paths.</w:t>
      </w:r>
    </w:p>
    <w:p>
      <w:pPr>
        <w:keepNext/>
        <w:spacing w:before="180"/>
      </w:pPr>
      <w:r>
        <w:rPr>
          <w:rFonts w:ascii="IBM Plex Mono" w:hAnsi="IBM Plex Mono" w:cs="IBM Plex Mono"/>
          <w:b/>
          <w:color w:val="0E8E66"/>
          <w:sz w:val="19"/>
        </w:rPr>
        <w:t>SDN-13</w:t>
      </w:r>
      <w:r>
        <w:rPr>
          <w:rFonts w:ascii="IBM Plex Sans" w:hAnsi="IBM Plex Sans" w:cs="IBM Plex Sans"/>
          <w:b/>
          <w:color w:val="0B0E11"/>
          <w:sz w:val="21"/>
        </w:rPr>
        <w:t xml:space="preserve">   Limit Controller Exposure to Management Interfaces</w:t>
      </w:r>
    </w:p>
    <w:p>
      <w:pPr/>
      <w:r>
        <w:t>Controller management interfaces shall be restricted to secure administrative zones and accessible only through hardened jump servers or bastion hosts.</w:t>
      </w:r>
    </w:p>
    <w:p>
      <w:pPr>
        <w:keepNext/>
        <w:spacing w:before="180"/>
      </w:pPr>
      <w:r>
        <w:rPr>
          <w:rFonts w:ascii="IBM Plex Mono" w:hAnsi="IBM Plex Mono" w:cs="IBM Plex Mono"/>
          <w:b/>
          <w:color w:val="0E8E66"/>
          <w:sz w:val="19"/>
        </w:rPr>
        <w:t>SDN-14</w:t>
      </w:r>
      <w:r>
        <w:rPr>
          <w:rFonts w:ascii="IBM Plex Sans" w:hAnsi="IBM Plex Sans" w:cs="IBM Plex Sans"/>
          <w:b/>
          <w:color w:val="0B0E11"/>
          <w:sz w:val="21"/>
        </w:rPr>
        <w:t xml:space="preserve">   Conduct Static and Dynamic Analysis of Controller Code</w:t>
      </w:r>
    </w:p>
    <w:p>
      <w:pPr/>
      <w:r>
        <w:t>Where custom or open-source controllers are used, both static and dynamic application security testing shall be conducted to identify vulnerabilities prior to deployment.</w:t>
      </w:r>
    </w:p>
    <w:p>
      <w:pPr>
        <w:keepNext/>
        <w:spacing w:before="180"/>
      </w:pPr>
      <w:r>
        <w:rPr>
          <w:rFonts w:ascii="IBM Plex Mono" w:hAnsi="IBM Plex Mono" w:cs="IBM Plex Mono"/>
          <w:b/>
          <w:color w:val="0E8E66"/>
          <w:sz w:val="19"/>
        </w:rPr>
        <w:t>SDN-15</w:t>
      </w:r>
      <w:r>
        <w:rPr>
          <w:rFonts w:ascii="IBM Plex Sans" w:hAnsi="IBM Plex Sans" w:cs="IBM Plex Sans"/>
          <w:b/>
          <w:color w:val="0B0E11"/>
          <w:sz w:val="21"/>
        </w:rPr>
        <w:t xml:space="preserve">   Implement Application Whitelisting for Controller Extensions</w:t>
      </w:r>
    </w:p>
    <w:p>
      <w:pPr/>
      <w:r>
        <w:t>Only approved, signed, and vetted applications or plug-ins shall be allowed to interact with the SDN controller to prevent introduction of malicious or unvetted code.</w:t>
      </w:r>
    </w:p>
    <w:p>
      <w:pPr>
        <w:keepNext/>
        <w:spacing w:before="180"/>
      </w:pPr>
      <w:r>
        <w:rPr>
          <w:rFonts w:ascii="IBM Plex Mono" w:hAnsi="IBM Plex Mono" w:cs="IBM Plex Mono"/>
          <w:b/>
          <w:color w:val="0E8E66"/>
          <w:sz w:val="19"/>
        </w:rPr>
        <w:t>SDN-16</w:t>
      </w:r>
      <w:r>
        <w:rPr>
          <w:rFonts w:ascii="IBM Plex Sans" w:hAnsi="IBM Plex Sans" w:cs="IBM Plex Sans"/>
          <w:b/>
          <w:color w:val="0B0E11"/>
          <w:sz w:val="21"/>
        </w:rPr>
        <w:t xml:space="preserve">   Integrate Flow Policy Auditing Mechanisms</w:t>
      </w:r>
    </w:p>
    <w:p>
      <w:pPr/>
      <w:r>
        <w:t>Organizations shall deploy tools or processes that audit active flow rules across the network and identify deviations from the intended security posture.</w:t>
      </w:r>
    </w:p>
    <w:p>
      <w:pPr>
        <w:keepNext/>
        <w:spacing w:before="180"/>
      </w:pPr>
      <w:r>
        <w:rPr>
          <w:rFonts w:ascii="IBM Plex Mono" w:hAnsi="IBM Plex Mono" w:cs="IBM Plex Mono"/>
          <w:b/>
          <w:color w:val="0E8E66"/>
          <w:sz w:val="19"/>
        </w:rPr>
        <w:t>SDN-17</w:t>
      </w:r>
      <w:r>
        <w:rPr>
          <w:rFonts w:ascii="IBM Plex Sans" w:hAnsi="IBM Plex Sans" w:cs="IBM Plex Sans"/>
          <w:b/>
          <w:color w:val="0B0E11"/>
          <w:sz w:val="21"/>
        </w:rPr>
        <w:t xml:space="preserve">   Detect and Alert on Lateral Movement Within the Control Plane</w:t>
      </w:r>
    </w:p>
    <w:p>
      <w:pPr/>
      <w:r>
        <w:t>Anomaly detection systems shall monitor the SDN control plane for signs of lateral movement, controller compromise, or suspicious propagation of flow instructions.</w:t>
      </w:r>
    </w:p>
    <w:p>
      <w:pPr>
        <w:keepNext/>
        <w:spacing w:before="180"/>
      </w:pPr>
      <w:r>
        <w:rPr>
          <w:rFonts w:ascii="IBM Plex Mono" w:hAnsi="IBM Plex Mono" w:cs="IBM Plex Mono"/>
          <w:b/>
          <w:color w:val="0E8E66"/>
          <w:sz w:val="19"/>
        </w:rPr>
        <w:t>SDN-18</w:t>
      </w:r>
      <w:r>
        <w:rPr>
          <w:rFonts w:ascii="IBM Plex Sans" w:hAnsi="IBM Plex Sans" w:cs="IBM Plex Sans"/>
          <w:b/>
          <w:color w:val="0B0E11"/>
          <w:sz w:val="21"/>
        </w:rPr>
        <w:t xml:space="preserve">   Separate Development and Production SDN Controllers</w:t>
      </w:r>
    </w:p>
    <w:p>
      <w:pPr/>
      <w:r>
        <w:t>SDN environments shall maintain a strict separation between development, test, and production controllers to prevent configuration bleed-over or unauthorized deployments.</w:t>
      </w:r>
    </w:p>
    <w:p>
      <w:pPr>
        <w:keepNext/>
        <w:spacing w:before="180"/>
      </w:pPr>
      <w:r>
        <w:rPr>
          <w:rFonts w:ascii="IBM Plex Mono" w:hAnsi="IBM Plex Mono" w:cs="IBM Plex Mono"/>
          <w:b/>
          <w:color w:val="0E8E66"/>
          <w:sz w:val="19"/>
        </w:rPr>
        <w:t>SDN-19</w:t>
      </w:r>
      <w:r>
        <w:rPr>
          <w:rFonts w:ascii="IBM Plex Sans" w:hAnsi="IBM Plex Sans" w:cs="IBM Plex Sans"/>
          <w:b/>
          <w:color w:val="0B0E11"/>
          <w:sz w:val="21"/>
        </w:rPr>
        <w:t xml:space="preserve">   Perform Real-Time Flow Visualization and Mapping</w:t>
      </w:r>
    </w:p>
    <w:p>
      <w:pPr/>
      <w:r>
        <w:t>Real-time flow visualization tools shall be implemented to map, monitor, and validate the actual traffic paths created by SDN controllers against intended policies.</w:t>
      </w:r>
    </w:p>
    <w:p>
      <w:pPr>
        <w:keepNext/>
        <w:spacing w:before="180"/>
      </w:pPr>
      <w:r>
        <w:rPr>
          <w:rFonts w:ascii="IBM Plex Mono" w:hAnsi="IBM Plex Mono" w:cs="IBM Plex Mono"/>
          <w:b/>
          <w:color w:val="0E8E66"/>
          <w:sz w:val="19"/>
        </w:rPr>
        <w:t>SDN-20</w:t>
      </w:r>
      <w:r>
        <w:rPr>
          <w:rFonts w:ascii="IBM Plex Sans" w:hAnsi="IBM Plex Sans" w:cs="IBM Plex Sans"/>
          <w:b/>
          <w:color w:val="0B0E11"/>
          <w:sz w:val="21"/>
        </w:rPr>
        <w:t xml:space="preserve">   Enforce Northbound API Rate Limiting and Throttling</w:t>
      </w:r>
    </w:p>
    <w:p>
      <w:pPr/>
      <w:r>
        <w:t>Rate limiting and throttling shall be enforced on SDN controller northbound APIs to prevent abuse or denial-of-service scenarios from orchestration or automation layers.</w:t>
      </w:r>
    </w:p>
    <w:p>
      <w:pPr>
        <w:keepNext/>
        <w:spacing w:before="180"/>
      </w:pPr>
      <w:r>
        <w:rPr>
          <w:rFonts w:ascii="IBM Plex Mono" w:hAnsi="IBM Plex Mono" w:cs="IBM Plex Mono"/>
          <w:b/>
          <w:color w:val="0E8E66"/>
          <w:sz w:val="19"/>
        </w:rPr>
        <w:t>SDN-21</w:t>
      </w:r>
      <w:r>
        <w:rPr>
          <w:rFonts w:ascii="IBM Plex Sans" w:hAnsi="IBM Plex Sans" w:cs="IBM Plex Sans"/>
          <w:b/>
          <w:color w:val="0B0E11"/>
          <w:sz w:val="21"/>
        </w:rPr>
        <w:t xml:space="preserve">   Conduct Periodic SDN Configuration Drift Assessments</w:t>
      </w:r>
    </w:p>
    <w:p>
      <w:pPr/>
      <w:r>
        <w:t>Regular assessments shall be conducted to detect and correct configuration drift across SDN controllers, flow rules, and network device states to maintain integrity and compliance.</w:t>
      </w:r>
    </w:p>
    <w:p>
      <w:pPr>
        <w:keepNext/>
        <w:spacing w:before="180"/>
      </w:pPr>
      <w:r>
        <w:rPr>
          <w:rFonts w:ascii="IBM Plex Mono" w:hAnsi="IBM Plex Mono" w:cs="IBM Plex Mono"/>
          <w:b/>
          <w:color w:val="0E8E66"/>
          <w:sz w:val="19"/>
        </w:rPr>
        <w:t>SDN-22</w:t>
      </w:r>
      <w:r>
        <w:rPr>
          <w:rFonts w:ascii="IBM Plex Sans" w:hAnsi="IBM Plex Sans" w:cs="IBM Plex Sans"/>
          <w:b/>
          <w:color w:val="0B0E11"/>
          <w:sz w:val="21"/>
        </w:rPr>
        <w:t xml:space="preserve">   Harden and Patch All SDN Components Regularly</w:t>
      </w:r>
    </w:p>
    <w:p>
      <w:pPr/>
      <w:r>
        <w:t>All components within the SDN ecosystem, including controllers, orchestration platforms, and virtual switches, shall be regularly patched, hardened, and monitored for known vulnerabilities.</w:t>
      </w:r>
    </w:p>
    <w:p>
      <w:pPr>
        <w:pStyle w:val="Kicker"/>
      </w:pPr>
      <w:r>
        <w:t>// control family</w:t>
      </w:r>
    </w:p>
    <w:p>
      <w:pPr>
        <w:pStyle w:val="Heading2"/>
      </w:pPr>
      <w:r>
        <w:t>Cloud &amp; Hybrid Environment Security (CHE)</w:t>
      </w:r>
    </w:p>
    <w:p>
      <w:pPr/>
      <w:r>
        <w:t>Cloud and hybrid environments introduce dynamic, distributed architectures where traditional perimeter-based controls no longer suffice. This control family establishes safeguards tailored to public, private, and hybrid cloud infrastructures, emphasizing security posture visibility, interconnect governance, and secure orchestration across cloud-native services, virtualization layers, and on-prem integration points. These controls ensure that cloud usage aligns with organizational security requirements without duplicating zero trust, SDN, or segmentation-specific controls defined elsewhere.</w:t>
      </w:r>
    </w:p>
    <w:p>
      <w:pPr>
        <w:keepNext/>
        <w:spacing w:before="180"/>
      </w:pPr>
      <w:r>
        <w:rPr>
          <w:rFonts w:ascii="IBM Plex Mono" w:hAnsi="IBM Plex Mono" w:cs="IBM Plex Mono"/>
          <w:b/>
          <w:color w:val="0E8E66"/>
          <w:sz w:val="19"/>
        </w:rPr>
        <w:t>CHE-01</w:t>
      </w:r>
      <w:r>
        <w:rPr>
          <w:rFonts w:ascii="IBM Plex Sans" w:hAnsi="IBM Plex Sans" w:cs="IBM Plex Sans"/>
          <w:b/>
          <w:color w:val="0B0E11"/>
          <w:sz w:val="21"/>
        </w:rPr>
        <w:t xml:space="preserve">   Define a Cloud &amp; Hybrid Security Governance Framework</w:t>
      </w:r>
    </w:p>
    <w:p>
      <w:pPr/>
      <w:r>
        <w:t>Organizations shall establish a governance model for cloud and hybrid environments, including defined roles, responsibilities, and accountability for infrastructure, platform, and software layers.</w:t>
      </w:r>
    </w:p>
    <w:p>
      <w:pPr>
        <w:keepNext/>
        <w:spacing w:before="180"/>
      </w:pPr>
      <w:r>
        <w:rPr>
          <w:rFonts w:ascii="IBM Plex Mono" w:hAnsi="IBM Plex Mono" w:cs="IBM Plex Mono"/>
          <w:b/>
          <w:color w:val="0E8E66"/>
          <w:sz w:val="19"/>
        </w:rPr>
        <w:t>CHE-02</w:t>
      </w:r>
      <w:r>
        <w:rPr>
          <w:rFonts w:ascii="IBM Plex Sans" w:hAnsi="IBM Plex Sans" w:cs="IBM Plex Sans"/>
          <w:b/>
          <w:color w:val="0B0E11"/>
          <w:sz w:val="21"/>
        </w:rPr>
        <w:t xml:space="preserve">   Establish Approved Cloud Service Provider (CSP) Usage Criteria</w:t>
      </w:r>
    </w:p>
    <w:p>
      <w:pPr/>
      <w:r>
        <w:t>Formalized evaluation criteria shall be defined to assess and approve cloud service providers (CSPs), including security certifications, compliance posture, data residency, and shared responsibility model clarity.</w:t>
      </w:r>
    </w:p>
    <w:p>
      <w:pPr>
        <w:keepNext/>
        <w:spacing w:before="180"/>
      </w:pPr>
      <w:r>
        <w:rPr>
          <w:rFonts w:ascii="IBM Plex Mono" w:hAnsi="IBM Plex Mono" w:cs="IBM Plex Mono"/>
          <w:b/>
          <w:color w:val="0E8E66"/>
          <w:sz w:val="19"/>
        </w:rPr>
        <w:t>CHE-03</w:t>
      </w:r>
      <w:r>
        <w:rPr>
          <w:rFonts w:ascii="IBM Plex Sans" w:hAnsi="IBM Plex Sans" w:cs="IBM Plex Sans"/>
          <w:b/>
          <w:color w:val="0B0E11"/>
          <w:sz w:val="21"/>
        </w:rPr>
        <w:t xml:space="preserve">   Require Explicit Security Architecture for Hybrid Connectivity</w:t>
      </w:r>
    </w:p>
    <w:p>
      <w:pPr/>
      <w:r>
        <w:t>All hybrid cloud connections (e.g., VPNs, Direct Connect, ExpressRoute) shall be designed with layered security controls including encryption, segmentation, and monitoring at ingress/egress points.</w:t>
      </w:r>
    </w:p>
    <w:p>
      <w:pPr>
        <w:keepNext/>
        <w:spacing w:before="180"/>
      </w:pPr>
      <w:r>
        <w:rPr>
          <w:rFonts w:ascii="IBM Plex Mono" w:hAnsi="IBM Plex Mono" w:cs="IBM Plex Mono"/>
          <w:b/>
          <w:color w:val="0E8E66"/>
          <w:sz w:val="19"/>
        </w:rPr>
        <w:t>CHE-04</w:t>
      </w:r>
      <w:r>
        <w:rPr>
          <w:rFonts w:ascii="IBM Plex Sans" w:hAnsi="IBM Plex Sans" w:cs="IBM Plex Sans"/>
          <w:b/>
          <w:color w:val="0B0E11"/>
          <w:sz w:val="21"/>
        </w:rPr>
        <w:t xml:space="preserve">   Enforce Least Privilege Across Cloud Console and APIs</w:t>
      </w:r>
    </w:p>
    <w:p>
      <w:pPr/>
      <w:r>
        <w:t>Administrative access to cloud management consoles and APIs shall be tightly controlled using least privilege principles, identity-bound access, and scoped permissions.</w:t>
      </w:r>
    </w:p>
    <w:p>
      <w:pPr>
        <w:keepNext/>
        <w:spacing w:before="180"/>
      </w:pPr>
      <w:r>
        <w:rPr>
          <w:rFonts w:ascii="IBM Plex Mono" w:hAnsi="IBM Plex Mono" w:cs="IBM Plex Mono"/>
          <w:b/>
          <w:color w:val="0E8E66"/>
          <w:sz w:val="19"/>
        </w:rPr>
        <w:t>CHE-05</w:t>
      </w:r>
      <w:r>
        <w:rPr>
          <w:rFonts w:ascii="IBM Plex Sans" w:hAnsi="IBM Plex Sans" w:cs="IBM Plex Sans"/>
          <w:b/>
          <w:color w:val="0B0E11"/>
          <w:sz w:val="21"/>
        </w:rPr>
        <w:t xml:space="preserve">   Maintain Cloud-Specific Asset and Resource Inventory</w:t>
      </w:r>
    </w:p>
    <w:p>
      <w:pPr/>
      <w:r>
        <w:t>Organizations shall maintain a continuously updated inventory of all cloud assets, including instances, services, containers, and APIs, enriched with metadata for classification and risk.</w:t>
      </w:r>
    </w:p>
    <w:p>
      <w:pPr>
        <w:keepNext/>
        <w:spacing w:before="180"/>
      </w:pPr>
      <w:r>
        <w:rPr>
          <w:rFonts w:ascii="IBM Plex Mono" w:hAnsi="IBM Plex Mono" w:cs="IBM Plex Mono"/>
          <w:b/>
          <w:color w:val="0E8E66"/>
          <w:sz w:val="19"/>
        </w:rPr>
        <w:t>CHE-06</w:t>
      </w:r>
      <w:r>
        <w:rPr>
          <w:rFonts w:ascii="IBM Plex Sans" w:hAnsi="IBM Plex Sans" w:cs="IBM Plex Sans"/>
          <w:b/>
          <w:color w:val="0B0E11"/>
          <w:sz w:val="21"/>
        </w:rPr>
        <w:t xml:space="preserve">   Isolate Production, Development, and Test Cloud Environments</w:t>
      </w:r>
    </w:p>
    <w:p>
      <w:pPr/>
      <w:r>
        <w:t>Cloud environments for development, staging, and production shall be isolated at the account, subscription, or project level to reduce risk of cross-environment access or misconfiguration.</w:t>
      </w:r>
    </w:p>
    <w:p>
      <w:pPr>
        <w:keepNext/>
        <w:spacing w:before="180"/>
      </w:pPr>
      <w:r>
        <w:rPr>
          <w:rFonts w:ascii="IBM Plex Mono" w:hAnsi="IBM Plex Mono" w:cs="IBM Plex Mono"/>
          <w:b/>
          <w:color w:val="0E8E66"/>
          <w:sz w:val="19"/>
        </w:rPr>
        <w:t>CHE-07</w:t>
      </w:r>
      <w:r>
        <w:rPr>
          <w:rFonts w:ascii="IBM Plex Sans" w:hAnsi="IBM Plex Sans" w:cs="IBM Plex Sans"/>
          <w:b/>
          <w:color w:val="0B0E11"/>
          <w:sz w:val="21"/>
        </w:rPr>
        <w:t xml:space="preserve">   Require Security Baselines for Cloud Resources</w:t>
      </w:r>
    </w:p>
    <w:p>
      <w:pPr/>
      <w:r>
        <w:t>All cloud resources (e.g., VMs, containers, databases, storage) shall adhere to organization-approved security baselines for hardening, access, and monitoring prior to deployment.</w:t>
      </w:r>
    </w:p>
    <w:p>
      <w:pPr>
        <w:keepNext/>
        <w:spacing w:before="180"/>
      </w:pPr>
      <w:r>
        <w:rPr>
          <w:rFonts w:ascii="IBM Plex Mono" w:hAnsi="IBM Plex Mono" w:cs="IBM Plex Mono"/>
          <w:b/>
          <w:color w:val="0E8E66"/>
          <w:sz w:val="19"/>
        </w:rPr>
        <w:t>CHE-08</w:t>
      </w:r>
      <w:r>
        <w:rPr>
          <w:rFonts w:ascii="IBM Plex Sans" w:hAnsi="IBM Plex Sans" w:cs="IBM Plex Sans"/>
          <w:b/>
          <w:color w:val="0B0E11"/>
          <w:sz w:val="21"/>
        </w:rPr>
        <w:t xml:space="preserve">   Configure Cloud-Native Network Controls</w:t>
      </w:r>
    </w:p>
    <w:p>
      <w:pPr/>
      <w:r>
        <w:t>Cloud-native firewalls, security groups, and route tables shall be configured to restrict access to resources based on source, destination, protocol, and application-layer context.</w:t>
      </w:r>
    </w:p>
    <w:p>
      <w:pPr>
        <w:keepNext/>
        <w:spacing w:before="180"/>
      </w:pPr>
      <w:r>
        <w:rPr>
          <w:rFonts w:ascii="IBM Plex Mono" w:hAnsi="IBM Plex Mono" w:cs="IBM Plex Mono"/>
          <w:b/>
          <w:color w:val="0E8E66"/>
          <w:sz w:val="19"/>
        </w:rPr>
        <w:t>CHE-09</w:t>
      </w:r>
      <w:r>
        <w:rPr>
          <w:rFonts w:ascii="IBM Plex Sans" w:hAnsi="IBM Plex Sans" w:cs="IBM Plex Sans"/>
          <w:b/>
          <w:color w:val="0B0E11"/>
          <w:sz w:val="21"/>
        </w:rPr>
        <w:t xml:space="preserve">   Monitor for Misconfigurations Across Cloud Accounts</w:t>
      </w:r>
    </w:p>
    <w:p>
      <w:pPr/>
      <w:r>
        <w:t>Automated tools shall be deployed to continuously scan for and alert on misconfigurations such as open storage buckets, overly permissive IAM roles, or exposed management interfaces.</w:t>
      </w:r>
    </w:p>
    <w:p>
      <w:pPr>
        <w:keepNext/>
        <w:spacing w:before="180"/>
      </w:pPr>
      <w:r>
        <w:rPr>
          <w:rFonts w:ascii="IBM Plex Mono" w:hAnsi="IBM Plex Mono" w:cs="IBM Plex Mono"/>
          <w:b/>
          <w:color w:val="0E8E66"/>
          <w:sz w:val="19"/>
        </w:rPr>
        <w:t>CHE-10</w:t>
      </w:r>
      <w:r>
        <w:rPr>
          <w:rFonts w:ascii="IBM Plex Sans" w:hAnsi="IBM Plex Sans" w:cs="IBM Plex Sans"/>
          <w:b/>
          <w:color w:val="0B0E11"/>
          <w:sz w:val="21"/>
        </w:rPr>
        <w:t xml:space="preserve">   Enforce Secure Defaults for Cloud Resource Provisioning</w:t>
      </w:r>
    </w:p>
    <w:p>
      <w:pPr/>
      <w:r>
        <w:t>Infrastructure-as-Code (IaC) templates and cloud blueprints shall enforce secure defaults for encryption, logging, access control, and resource lifecycle management.</w:t>
      </w:r>
    </w:p>
    <w:p>
      <w:pPr>
        <w:keepNext/>
        <w:spacing w:before="180"/>
      </w:pPr>
      <w:r>
        <w:rPr>
          <w:rFonts w:ascii="IBM Plex Mono" w:hAnsi="IBM Plex Mono" w:cs="IBM Plex Mono"/>
          <w:b/>
          <w:color w:val="0E8E66"/>
          <w:sz w:val="19"/>
        </w:rPr>
        <w:t>CHE-11</w:t>
      </w:r>
      <w:r>
        <w:rPr>
          <w:rFonts w:ascii="IBM Plex Sans" w:hAnsi="IBM Plex Sans" w:cs="IBM Plex Sans"/>
          <w:b/>
          <w:color w:val="0B0E11"/>
          <w:sz w:val="21"/>
        </w:rPr>
        <w:t xml:space="preserve">   Control Inter-Region and Inter-Cloud Communications</w:t>
      </w:r>
    </w:p>
    <w:p>
      <w:pPr/>
      <w:r>
        <w:t>Traffic between cloud regions or across multiple cloud service providers shall be governed by explicit policies, with inspection and logging at all interconnect points.</w:t>
      </w:r>
    </w:p>
    <w:p>
      <w:pPr>
        <w:keepNext/>
        <w:spacing w:before="180"/>
      </w:pPr>
      <w:r>
        <w:rPr>
          <w:rFonts w:ascii="IBM Plex Mono" w:hAnsi="IBM Plex Mono" w:cs="IBM Plex Mono"/>
          <w:b/>
          <w:color w:val="0E8E66"/>
          <w:sz w:val="19"/>
        </w:rPr>
        <w:t>CHE-12</w:t>
      </w:r>
      <w:r>
        <w:rPr>
          <w:rFonts w:ascii="IBM Plex Sans" w:hAnsi="IBM Plex Sans" w:cs="IBM Plex Sans"/>
          <w:b/>
          <w:color w:val="0B0E11"/>
          <w:sz w:val="21"/>
        </w:rPr>
        <w:t xml:space="preserve">   Restrict Use of Root and Break-Glass Cloud Accounts</w:t>
      </w:r>
    </w:p>
    <w:p>
      <w:pPr/>
      <w:r>
        <w:t>Use of root, global admin, or break-glass accounts shall be tightly controlled, logged, and limited to emergency use with multi-factor authentication and post-use review.</w:t>
      </w:r>
    </w:p>
    <w:p>
      <w:pPr>
        <w:keepNext/>
        <w:spacing w:before="180"/>
      </w:pPr>
      <w:r>
        <w:rPr>
          <w:rFonts w:ascii="IBM Plex Mono" w:hAnsi="IBM Plex Mono" w:cs="IBM Plex Mono"/>
          <w:b/>
          <w:color w:val="0E8E66"/>
          <w:sz w:val="19"/>
        </w:rPr>
        <w:t>CHE-13</w:t>
      </w:r>
      <w:r>
        <w:rPr>
          <w:rFonts w:ascii="IBM Plex Sans" w:hAnsi="IBM Plex Sans" w:cs="IBM Plex Sans"/>
          <w:b/>
          <w:color w:val="0B0E11"/>
          <w:sz w:val="21"/>
        </w:rPr>
        <w:t xml:space="preserve">   Ensure Encryption of Data-in-Transit and Data-at-Rest by Default</w:t>
      </w:r>
    </w:p>
    <w:p>
      <w:pPr/>
      <w:r>
        <w:t>All cloud-hosted data shall be encrypted both in transit and at rest using CSP-native encryption services or customer-managed keys, with default enforcement across services.</w:t>
      </w:r>
    </w:p>
    <w:p>
      <w:pPr>
        <w:keepNext/>
        <w:spacing w:before="180"/>
      </w:pPr>
      <w:r>
        <w:rPr>
          <w:rFonts w:ascii="IBM Plex Mono" w:hAnsi="IBM Plex Mono" w:cs="IBM Plex Mono"/>
          <w:b/>
          <w:color w:val="0E8E66"/>
          <w:sz w:val="19"/>
        </w:rPr>
        <w:t>CHE-14</w:t>
      </w:r>
      <w:r>
        <w:rPr>
          <w:rFonts w:ascii="IBM Plex Sans" w:hAnsi="IBM Plex Sans" w:cs="IBM Plex Sans"/>
          <w:b/>
          <w:color w:val="0B0E11"/>
          <w:sz w:val="21"/>
        </w:rPr>
        <w:t xml:space="preserve">   Validate Cloud Service Configurations Before Deployment</w:t>
      </w:r>
    </w:p>
    <w:p>
      <w:pPr/>
      <w:r>
        <w:t>Configuration validation shall be performed on all cloud service deployments (e.g., via policy-as-code or automated checks) to detect security violations or noncompliance.</w:t>
      </w:r>
    </w:p>
    <w:p>
      <w:pPr>
        <w:keepNext/>
        <w:spacing w:before="180"/>
      </w:pPr>
      <w:r>
        <w:rPr>
          <w:rFonts w:ascii="IBM Plex Mono" w:hAnsi="IBM Plex Mono" w:cs="IBM Plex Mono"/>
          <w:b/>
          <w:color w:val="0E8E66"/>
          <w:sz w:val="19"/>
        </w:rPr>
        <w:t>CHE-15</w:t>
      </w:r>
      <w:r>
        <w:rPr>
          <w:rFonts w:ascii="IBM Plex Sans" w:hAnsi="IBM Plex Sans" w:cs="IBM Plex Sans"/>
          <w:b/>
          <w:color w:val="0B0E11"/>
          <w:sz w:val="21"/>
        </w:rPr>
        <w:t xml:space="preserve">   Limit Cloud Service Exposure to Public Internet</w:t>
      </w:r>
    </w:p>
    <w:p>
      <w:pPr/>
      <w:r>
        <w:t>Cloud services shall not be directly exposed to the public internet unless explicitly required, in which case compensating controls (e.g., WAF, access control lists) must be implemented.</w:t>
      </w:r>
    </w:p>
    <w:p>
      <w:pPr>
        <w:keepNext/>
        <w:spacing w:before="180"/>
      </w:pPr>
      <w:r>
        <w:rPr>
          <w:rFonts w:ascii="IBM Plex Mono" w:hAnsi="IBM Plex Mono" w:cs="IBM Plex Mono"/>
          <w:b/>
          <w:color w:val="0E8E66"/>
          <w:sz w:val="19"/>
        </w:rPr>
        <w:t>CHE-16</w:t>
      </w:r>
      <w:r>
        <w:rPr>
          <w:rFonts w:ascii="IBM Plex Sans" w:hAnsi="IBM Plex Sans" w:cs="IBM Plex Sans"/>
          <w:b/>
          <w:color w:val="0B0E11"/>
          <w:sz w:val="21"/>
        </w:rPr>
        <w:t xml:space="preserve">   Require Logging of All Cloud Administrative Activities</w:t>
      </w:r>
    </w:p>
    <w:p>
      <w:pPr/>
      <w:r>
        <w:t>All administrative actions taken via cloud consoles, CLIs, or APIs shall be logged in a centralized and tamper-evident manner, with retention aligned to legal and regulatory requirements.</w:t>
      </w:r>
    </w:p>
    <w:p>
      <w:pPr>
        <w:keepNext/>
        <w:spacing w:before="180"/>
      </w:pPr>
      <w:r>
        <w:rPr>
          <w:rFonts w:ascii="IBM Plex Mono" w:hAnsi="IBM Plex Mono" w:cs="IBM Plex Mono"/>
          <w:b/>
          <w:color w:val="0E8E66"/>
          <w:sz w:val="19"/>
        </w:rPr>
        <w:t>CHE-17</w:t>
      </w:r>
      <w:r>
        <w:rPr>
          <w:rFonts w:ascii="IBM Plex Sans" w:hAnsi="IBM Plex Sans" w:cs="IBM Plex Sans"/>
          <w:b/>
          <w:color w:val="0B0E11"/>
          <w:sz w:val="21"/>
        </w:rPr>
        <w:t xml:space="preserve">   Use Secure Workload Identities for Service Interactions</w:t>
      </w:r>
    </w:p>
    <w:p>
      <w:pPr/>
      <w:r>
        <w:t>Workloads interacting with cloud services shall use managed identities, service accounts, or workload identity federation mechanisms rather than static credentials or keys.</w:t>
      </w:r>
    </w:p>
    <w:p>
      <w:pPr>
        <w:keepNext/>
        <w:spacing w:before="180"/>
      </w:pPr>
      <w:r>
        <w:rPr>
          <w:rFonts w:ascii="IBM Plex Mono" w:hAnsi="IBM Plex Mono" w:cs="IBM Plex Mono"/>
          <w:b/>
          <w:color w:val="0E8E66"/>
          <w:sz w:val="19"/>
        </w:rPr>
        <w:t>CHE-18</w:t>
      </w:r>
      <w:r>
        <w:rPr>
          <w:rFonts w:ascii="IBM Plex Sans" w:hAnsi="IBM Plex Sans" w:cs="IBM Plex Sans"/>
          <w:b/>
          <w:color w:val="0B0E11"/>
          <w:sz w:val="21"/>
        </w:rPr>
        <w:t xml:space="preserve">   Perform Cloud-Specific Threat Modeling</w:t>
      </w:r>
    </w:p>
    <w:p>
      <w:pPr/>
      <w:r>
        <w:t>Threat models tailored to cloud-native attack vectors (e.g., container escape, metadata service abuse, IAM misconfigurations) shall be developed and regularly reviewed.</w:t>
      </w:r>
    </w:p>
    <w:p>
      <w:pPr>
        <w:keepNext/>
        <w:spacing w:before="180"/>
      </w:pPr>
      <w:r>
        <w:rPr>
          <w:rFonts w:ascii="IBM Plex Mono" w:hAnsi="IBM Plex Mono" w:cs="IBM Plex Mono"/>
          <w:b/>
          <w:color w:val="0E8E66"/>
          <w:sz w:val="19"/>
        </w:rPr>
        <w:t>CHE-19</w:t>
      </w:r>
      <w:r>
        <w:rPr>
          <w:rFonts w:ascii="IBM Plex Sans" w:hAnsi="IBM Plex Sans" w:cs="IBM Plex Sans"/>
          <w:b/>
          <w:color w:val="0B0E11"/>
          <w:sz w:val="21"/>
        </w:rPr>
        <w:t xml:space="preserve">   Monitor Cloud Provider Security Bulletins and Advisories</w:t>
      </w:r>
    </w:p>
    <w:p>
      <w:pPr/>
      <w:r>
        <w:t>Organizations shall continuously monitor CSP security advisories and implement patches or configuration changes based on published threats or vulnerabilities in cloud services.</w:t>
      </w:r>
    </w:p>
    <w:p>
      <w:pPr>
        <w:keepNext/>
        <w:spacing w:before="180"/>
      </w:pPr>
      <w:r>
        <w:rPr>
          <w:rFonts w:ascii="IBM Plex Mono" w:hAnsi="IBM Plex Mono" w:cs="IBM Plex Mono"/>
          <w:b/>
          <w:color w:val="0E8E66"/>
          <w:sz w:val="19"/>
        </w:rPr>
        <w:t>CHE-20</w:t>
      </w:r>
      <w:r>
        <w:rPr>
          <w:rFonts w:ascii="IBM Plex Sans" w:hAnsi="IBM Plex Sans" w:cs="IBM Plex Sans"/>
          <w:b/>
          <w:color w:val="0B0E11"/>
          <w:sz w:val="21"/>
        </w:rPr>
        <w:t xml:space="preserve">   Validate Tenant and Container Isolation in Shared Environments</w:t>
      </w:r>
    </w:p>
    <w:p>
      <w:pPr/>
      <w:r>
        <w:t>In multi-tenant cloud or containerized architectures, controls shall be in place to enforce tenant isolation and prevent cross-tenant data access or resource interference.</w:t>
      </w:r>
    </w:p>
    <w:p>
      <w:pPr>
        <w:keepNext/>
        <w:spacing w:before="180"/>
      </w:pPr>
      <w:r>
        <w:rPr>
          <w:rFonts w:ascii="IBM Plex Mono" w:hAnsi="IBM Plex Mono" w:cs="IBM Plex Mono"/>
          <w:b/>
          <w:color w:val="0E8E66"/>
          <w:sz w:val="19"/>
        </w:rPr>
        <w:t>CHE-21</w:t>
      </w:r>
      <w:r>
        <w:rPr>
          <w:rFonts w:ascii="IBM Plex Sans" w:hAnsi="IBM Plex Sans" w:cs="IBM Plex Sans"/>
          <w:b/>
          <w:color w:val="0B0E11"/>
          <w:sz w:val="21"/>
        </w:rPr>
        <w:t xml:space="preserve">   Apply Governance Controls to Cloud Marketplace and SaaS Integrations</w:t>
      </w:r>
    </w:p>
    <w:p>
      <w:pPr/>
      <w:r>
        <w:t>All third-party services or integrations procured via cloud marketplaces or external SaaS providers shall undergo security assessment and approval prior to use.</w:t>
      </w:r>
    </w:p>
    <w:p>
      <w:pPr>
        <w:keepNext/>
        <w:spacing w:before="180"/>
      </w:pPr>
      <w:r>
        <w:rPr>
          <w:rFonts w:ascii="IBM Plex Mono" w:hAnsi="IBM Plex Mono" w:cs="IBM Plex Mono"/>
          <w:b/>
          <w:color w:val="0E8E66"/>
          <w:sz w:val="19"/>
        </w:rPr>
        <w:t>CHE-22</w:t>
      </w:r>
      <w:r>
        <w:rPr>
          <w:rFonts w:ascii="IBM Plex Sans" w:hAnsi="IBM Plex Sans" w:cs="IBM Plex Sans"/>
          <w:b/>
          <w:color w:val="0B0E11"/>
          <w:sz w:val="21"/>
        </w:rPr>
        <w:t xml:space="preserve">   Enforce Cloud Resource Lifecycle Policies</w:t>
      </w:r>
    </w:p>
    <w:p>
      <w:pPr/>
      <w:r>
        <w:t>Cloud resource provisioning, usage, and decommissioning shall follow documented lifecycle policies, including tagging, expiration dates, and post-termination data sanitization.</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NETWORK &amp; SECURITY ARCHITECTURE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Network &amp; Security Architecture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Network and Security Architecture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