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the overview</w:t>
      </w:r>
    </w:p>
    <w:p>
      <w:pPr>
        <w:pStyle w:val="CoverTitle"/>
      </w:pPr>
      <w:r>
        <w:t>Overview &amp; Conventions</w:t>
      </w:r>
    </w:p>
    <w:p>
      <w:pPr>
        <w:pStyle w:val="CoverDeck"/>
      </w:pPr>
      <w:r>
        <w:t>The entry point to SCOPE: what it is, how it is built, and how to read it.</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Overview &amp; Conventions</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bl>
    <w:p>
      <w:pPr>
        <w:pStyle w:val="Kicker"/>
      </w:pPr>
      <w:r>
        <w:t>// what scope is</w:t>
      </w:r>
    </w:p>
    <w:p>
      <w:pPr>
        <w:pStyle w:val="Heading1"/>
      </w:pPr>
      <w:r>
        <w:t>What SCOPE Is</w:t>
      </w:r>
    </w:p>
    <w:p>
      <w:pPr/>
      <w:r>
        <w:t>SCOPE, Strategic Cybersecurity Operations and Protection for Enterprises, is a comprehensive, vendor-neutral catalog of cybersecurity controls for private-sector organizations. It organizes the full span of enterprise security, from executive governance to physical facilities and emerging disciplines such as artificial intelligence and post-quantum readiness, into a single structured body of requirements that an organization can adopt, tailor, and measure against. SCOPE is authored from principle rather than derived from any single product, vendor, or environment, so every requirement is expressed in terms of what an organization must achieve, not which tool it must buy.</w:t>
      </w:r>
    </w:p>
    <w:p>
      <w:pPr>
        <w:pStyle w:val="Kicker"/>
      </w:pPr>
      <w:r>
        <w:t>// the problem</w:t>
      </w:r>
    </w:p>
    <w:p>
      <w:pPr>
        <w:pStyle w:val="Heading1"/>
      </w:pPr>
      <w:r>
        <w:t>The Problem It Solves</w:t>
      </w:r>
    </w:p>
    <w:p>
      <w:pPr/>
      <w:r>
        <w:t>Most organizations assemble their security requirements from several overlapping frameworks, each written for a different audience and updated on a different cycle. The result is duplication, gaps between domains, and controls that are hard to trace to a business outcome. SCOPE provides one coherent, plainly written control set that spans the enterprise, uses a consistent structure and identifier scheme across every domain, and ties each control to an operational objective. It is designed to be usable on its own or as a unifying layer above the frameworks an organization already reports against.</w:t>
      </w:r>
    </w:p>
    <w:p>
      <w:pPr>
        <w:pStyle w:val="Kicker"/>
      </w:pPr>
      <w:r>
        <w:t>// how it is built</w:t>
      </w:r>
    </w:p>
    <w:p>
      <w:pPr>
        <w:pStyle w:val="Heading1"/>
      </w:pPr>
      <w:r>
        <w:t>How SCOPE Is Organized</w:t>
      </w:r>
    </w:p>
    <w:p>
      <w:pPr/>
      <w:r>
        <w:t>SCOPE is built in three layers. A Domain is a major area of enterprise security, such as Identity and Access Management or Threat Management and Security Operations. Within each domain, a Control Family groups related requirements under a short letter code, such as PAM for Privileged Access Management. Within each family, a Control is a single, testable requirement written as a normative statement. Every control in SCOPE is phrased as an outcome the organization shall achieve, which keeps the catalog implementation-neutral and auditable.</w:t>
      </w:r>
    </w:p>
    <w:p>
      <w:pPr/>
      <w:r>
        <w:t>The current release comprises twelve control domains, containing 56 control families and 1,176 individual controls, supported by companion documents for roles, decision rights, and metrics.</w:t>
      </w:r>
    </w:p>
    <w:p>
      <w:pPr>
        <w:pStyle w:val="Kicker"/>
      </w:pPr>
      <w:r>
        <w:t>// reading a control id</w:t>
      </w:r>
    </w:p>
    <w:p>
      <w:pPr>
        <w:pStyle w:val="Heading1"/>
      </w:pPr>
      <w:r>
        <w:t>How to Read a Control ID</w:t>
      </w:r>
    </w:p>
    <w:p>
      <w:pPr/>
      <w:r>
        <w:t>Every control carries an identifier in the form FAM-NN, where FAM is the two-to-five letter family code and NN is the control number within that family. For example, MRM-20 is the twentieth control in the Mobile and Remote Asset Management family, and PAM-07 is the seventh control in the Privileged Access Management family. Identifiers are stable references: they are the durable way to cite a SCOPE requirement in policies, audits, and mappings.</w:t>
      </w:r>
    </w:p>
    <w:p>
      <w:pPr>
        <w:pStyle w:val="Kicker"/>
      </w:pPr>
      <w:r>
        <w:t>// the domains</w:t>
      </w:r>
    </w:p>
    <w:p>
      <w:pPr>
        <w:pStyle w:val="Heading1"/>
      </w:pPr>
      <w:r>
        <w:t>Domains and Companion Documents</w:t>
      </w:r>
    </w:p>
    <w:p>
      <w:pPr/>
      <w:r>
        <w:t>The twelve control domains and their families:</w:t>
      </w:r>
    </w:p>
    <w:tbl>
      <w:tblPr>
        <w:tblW w:type="auto" w:w="0"/>
        <w:tblLook w:firstColumn="1" w:firstRow="1" w:lastColumn="0" w:lastRow="0" w:noHBand="0" w:noVBand="1" w:val="04A0"/>
        <w:tblBorders>
          <w:top w:val="none"/>
          <w:left w:val="none"/>
          <w:bottom w:val="none"/>
          <w:right w:val="none"/>
          <w:insideH w:val="none"/>
          <w:insideV w:val="none"/>
        </w:tblBorders>
      </w:tblPr>
      <w:tblGrid>
        <w:gridCol w:w="3120"/>
        <w:gridCol w:w="3120"/>
        <w:gridCol w:w="3120"/>
      </w:tblGrid>
      <w:tr>
        <w:tc>
          <w:tcPr>
            <w:tcW w:type="dxa" w:w="3120"/>
          </w:tcPr>
          <w:p>
            <w:pPr>
              <w:pStyle w:val="HeadCellTxt"/>
            </w:pPr>
            <w:r>
              <w:t>Control Domain</w:t>
            </w:r>
          </w:p>
        </w:tc>
        <w:tc>
          <w:tcPr>
            <w:tcW w:type="dxa" w:w="3120"/>
          </w:tcPr>
          <w:p>
            <w:pPr>
              <w:pStyle w:val="HeadCellTxt"/>
            </w:pPr>
            <w:r>
              <w:t>Families</w:t>
            </w:r>
          </w:p>
        </w:tc>
        <w:tc>
          <w:tcPr>
            <w:tcW w:type="dxa" w:w="3120"/>
          </w:tcPr>
          <w:p>
            <w:pPr>
              <w:pStyle w:val="HeadCellTxt"/>
            </w:pPr>
            <w:r>
              <w:t>Controls</w:t>
            </w:r>
          </w:p>
        </w:tc>
      </w:tr>
      <w:tr>
        <w:tc>
          <w:tcPr>
            <w:tcW w:type="dxa" w:w="3120"/>
          </w:tcPr>
          <w:p>
            <w:pPr>
              <w:pStyle w:val="CellTxt"/>
            </w:pPr>
            <w:r>
              <w:t>Governance &amp; Risk Management</w:t>
            </w:r>
          </w:p>
        </w:tc>
        <w:tc>
          <w:tcPr>
            <w:tcW w:type="dxa" w:w="3120"/>
          </w:tcPr>
          <w:p>
            <w:pPr>
              <w:pStyle w:val="CellTxt"/>
            </w:pPr>
            <w:r>
              <w:t>GRC, ERM, TPR, SPS, BCM, CAT</w:t>
            </w:r>
          </w:p>
        </w:tc>
        <w:tc>
          <w:tcPr>
            <w:tcW w:type="dxa" w:w="3120"/>
          </w:tcPr>
          <w:p>
            <w:pPr>
              <w:pStyle w:val="CellTxt"/>
              <w:jc w:val="right"/>
            </w:pPr>
            <w:r>
              <w:t>120</w:t>
            </w:r>
          </w:p>
        </w:tc>
      </w:tr>
      <w:tr>
        <w:tc>
          <w:tcPr>
            <w:tcW w:type="dxa" w:w="3120"/>
          </w:tcPr>
          <w:p>
            <w:pPr>
              <w:pStyle w:val="CellTxt"/>
            </w:pPr>
            <w:r>
              <w:t>Identity &amp; Access Management</w:t>
            </w:r>
          </w:p>
        </w:tc>
        <w:tc>
          <w:tcPr>
            <w:tcW w:type="dxa" w:w="3120"/>
          </w:tcPr>
          <w:p>
            <w:pPr>
              <w:pStyle w:val="CellTxt"/>
            </w:pPr>
            <w:r>
              <w:t>ACN, MFA, SSO, PAM, CSM</w:t>
            </w:r>
          </w:p>
        </w:tc>
        <w:tc>
          <w:tcPr>
            <w:tcW w:type="dxa" w:w="3120"/>
          </w:tcPr>
          <w:p>
            <w:pPr>
              <w:pStyle w:val="CellTxt"/>
              <w:jc w:val="right"/>
            </w:pPr>
            <w:r>
              <w:t>104</w:t>
            </w:r>
          </w:p>
        </w:tc>
      </w:tr>
      <w:tr>
        <w:tc>
          <w:tcPr>
            <w:tcW w:type="dxa" w:w="3120"/>
          </w:tcPr>
          <w:p>
            <w:pPr>
              <w:pStyle w:val="CellTxt"/>
            </w:pPr>
            <w:r>
              <w:t>Network &amp; Security Architecture</w:t>
            </w:r>
          </w:p>
        </w:tc>
        <w:tc>
          <w:tcPr>
            <w:tcW w:type="dxa" w:w="3120"/>
          </w:tcPr>
          <w:p>
            <w:pPr>
              <w:pStyle w:val="CellTxt"/>
            </w:pPr>
            <w:r>
              <w:t>ZTA, MSN, IPS, SDN, CHE</w:t>
            </w:r>
          </w:p>
        </w:tc>
        <w:tc>
          <w:tcPr>
            <w:tcW w:type="dxa" w:w="3120"/>
          </w:tcPr>
          <w:p>
            <w:pPr>
              <w:pStyle w:val="CellTxt"/>
              <w:jc w:val="right"/>
            </w:pPr>
            <w:r>
              <w:t>109</w:t>
            </w:r>
          </w:p>
        </w:tc>
      </w:tr>
      <w:tr>
        <w:tc>
          <w:tcPr>
            <w:tcW w:type="dxa" w:w="3120"/>
          </w:tcPr>
          <w:p>
            <w:pPr>
              <w:pStyle w:val="CellTxt"/>
            </w:pPr>
            <w:r>
              <w:t>Application Security</w:t>
            </w:r>
          </w:p>
        </w:tc>
        <w:tc>
          <w:tcPr>
            <w:tcW w:type="dxa" w:w="3120"/>
          </w:tcPr>
          <w:p>
            <w:pPr>
              <w:pStyle w:val="CellTxt"/>
            </w:pPr>
            <w:r>
              <w:t>SSD, API, SBM, VPM, EKM</w:t>
            </w:r>
          </w:p>
        </w:tc>
        <w:tc>
          <w:tcPr>
            <w:tcW w:type="dxa" w:w="3120"/>
          </w:tcPr>
          <w:p>
            <w:pPr>
              <w:pStyle w:val="CellTxt"/>
              <w:jc w:val="right"/>
            </w:pPr>
            <w:r>
              <w:t>112</w:t>
            </w:r>
          </w:p>
        </w:tc>
      </w:tr>
      <w:tr>
        <w:tc>
          <w:tcPr>
            <w:tcW w:type="dxa" w:w="3120"/>
          </w:tcPr>
          <w:p>
            <w:pPr>
              <w:pStyle w:val="CellTxt"/>
            </w:pPr>
            <w:r>
              <w:t>Data Governance &amp; Privacy</w:t>
            </w:r>
          </w:p>
        </w:tc>
        <w:tc>
          <w:tcPr>
            <w:tcW w:type="dxa" w:w="3120"/>
          </w:tcPr>
          <w:p>
            <w:pPr>
              <w:pStyle w:val="CellTxt"/>
            </w:pPr>
            <w:r>
              <w:t>DCL, DLM, DRS, UDR, DLP</w:t>
            </w:r>
          </w:p>
        </w:tc>
        <w:tc>
          <w:tcPr>
            <w:tcW w:type="dxa" w:w="3120"/>
          </w:tcPr>
          <w:p>
            <w:pPr>
              <w:pStyle w:val="CellTxt"/>
              <w:jc w:val="right"/>
            </w:pPr>
            <w:r>
              <w:t>107</w:t>
            </w:r>
          </w:p>
        </w:tc>
      </w:tr>
      <w:tr>
        <w:tc>
          <w:tcPr>
            <w:tcW w:type="dxa" w:w="3120"/>
          </w:tcPr>
          <w:p>
            <w:pPr>
              <w:pStyle w:val="CellTxt"/>
            </w:pPr>
            <w:r>
              <w:t>Asset &amp; Configuration Management</w:t>
            </w:r>
          </w:p>
        </w:tc>
        <w:tc>
          <w:tcPr>
            <w:tcW w:type="dxa" w:w="3120"/>
          </w:tcPr>
          <w:p>
            <w:pPr>
              <w:pStyle w:val="CellTxt"/>
            </w:pPr>
            <w:r>
              <w:t>HSA, BSC, CCM, MRM</w:t>
            </w:r>
          </w:p>
        </w:tc>
        <w:tc>
          <w:tcPr>
            <w:tcW w:type="dxa" w:w="3120"/>
          </w:tcPr>
          <w:p>
            <w:pPr>
              <w:pStyle w:val="CellTxt"/>
              <w:jc w:val="right"/>
            </w:pPr>
            <w:r>
              <w:t>86</w:t>
            </w:r>
          </w:p>
        </w:tc>
      </w:tr>
      <w:tr>
        <w:tc>
          <w:tcPr>
            <w:tcW w:type="dxa" w:w="3120"/>
          </w:tcPr>
          <w:p>
            <w:pPr>
              <w:pStyle w:val="CellTxt"/>
            </w:pPr>
            <w:r>
              <w:t>Threat Management &amp; Security Operations</w:t>
            </w:r>
          </w:p>
        </w:tc>
        <w:tc>
          <w:tcPr>
            <w:tcW w:type="dxa" w:w="3120"/>
          </w:tcPr>
          <w:p>
            <w:pPr>
              <w:pStyle w:val="CellTxt"/>
            </w:pPr>
            <w:r>
              <w:t>IDR, TIH, SMS, XDR, MDF, RBP</w:t>
            </w:r>
          </w:p>
        </w:tc>
        <w:tc>
          <w:tcPr>
            <w:tcW w:type="dxa" w:w="3120"/>
          </w:tcPr>
          <w:p>
            <w:pPr>
              <w:pStyle w:val="CellTxt"/>
              <w:jc w:val="right"/>
            </w:pPr>
            <w:r>
              <w:t>136</w:t>
            </w:r>
          </w:p>
        </w:tc>
      </w:tr>
      <w:tr>
        <w:tc>
          <w:tcPr>
            <w:tcW w:type="dxa" w:w="3120"/>
          </w:tcPr>
          <w:p>
            <w:pPr>
              <w:pStyle w:val="CellTxt"/>
            </w:pPr>
            <w:r>
              <w:t>Cloud Security</w:t>
            </w:r>
          </w:p>
        </w:tc>
        <w:tc>
          <w:tcPr>
            <w:tcW w:type="dxa" w:w="3120"/>
          </w:tcPr>
          <w:p>
            <w:pPr>
              <w:pStyle w:val="CellTxt"/>
            </w:pPr>
            <w:r>
              <w:t>CSP</w:t>
            </w:r>
          </w:p>
        </w:tc>
        <w:tc>
          <w:tcPr>
            <w:tcW w:type="dxa" w:w="3120"/>
          </w:tcPr>
          <w:p>
            <w:pPr>
              <w:pStyle w:val="CellTxt"/>
              <w:jc w:val="right"/>
            </w:pPr>
            <w:r>
              <w:t>22</w:t>
            </w:r>
          </w:p>
        </w:tc>
      </w:tr>
      <w:tr>
        <w:tc>
          <w:tcPr>
            <w:tcW w:type="dxa" w:w="3120"/>
          </w:tcPr>
          <w:p>
            <w:pPr>
              <w:pStyle w:val="CellTxt"/>
            </w:pPr>
            <w:r>
              <w:t>Cyber-Physical &amp; Distributed Systems Security</w:t>
            </w:r>
          </w:p>
        </w:tc>
        <w:tc>
          <w:tcPr>
            <w:tcW w:type="dxa" w:w="3120"/>
          </w:tcPr>
          <w:p>
            <w:pPr>
              <w:pStyle w:val="CellTxt"/>
            </w:pPr>
            <w:r>
              <w:t>IOT, BCS, SCI</w:t>
            </w:r>
          </w:p>
        </w:tc>
        <w:tc>
          <w:tcPr>
            <w:tcW w:type="dxa" w:w="3120"/>
          </w:tcPr>
          <w:p>
            <w:pPr>
              <w:pStyle w:val="CellTxt"/>
              <w:jc w:val="right"/>
            </w:pPr>
            <w:r>
              <w:t>66</w:t>
            </w:r>
          </w:p>
        </w:tc>
      </w:tr>
      <w:tr>
        <w:tc>
          <w:tcPr>
            <w:tcW w:type="dxa" w:w="3120"/>
          </w:tcPr>
          <w:p>
            <w:pPr>
              <w:pStyle w:val="CellTxt"/>
            </w:pPr>
            <w:r>
              <w:t>Physical &amp; Environmental Security</w:t>
            </w:r>
          </w:p>
        </w:tc>
        <w:tc>
          <w:tcPr>
            <w:tcW w:type="dxa" w:w="3120"/>
          </w:tcPr>
          <w:p>
            <w:pPr>
              <w:pStyle w:val="CellTxt"/>
            </w:pPr>
            <w:r>
              <w:t>FAC, VEL, EPC, DDD, VID</w:t>
            </w:r>
          </w:p>
        </w:tc>
        <w:tc>
          <w:tcPr>
            <w:tcW w:type="dxa" w:w="3120"/>
          </w:tcPr>
          <w:p>
            <w:pPr>
              <w:pStyle w:val="CellTxt"/>
              <w:jc w:val="right"/>
            </w:pPr>
            <w:r>
              <w:t>110</w:t>
            </w:r>
          </w:p>
        </w:tc>
      </w:tr>
      <w:tr>
        <w:tc>
          <w:tcPr>
            <w:tcW w:type="dxa" w:w="3120"/>
          </w:tcPr>
          <w:p>
            <w:pPr>
              <w:pStyle w:val="CellTxt"/>
            </w:pPr>
            <w:r>
              <w:t>AI Security</w:t>
            </w:r>
          </w:p>
        </w:tc>
        <w:tc>
          <w:tcPr>
            <w:tcW w:type="dxa" w:w="3120"/>
          </w:tcPr>
          <w:p>
            <w:pPr>
              <w:pStyle w:val="CellTxt"/>
            </w:pPr>
            <w:r>
              <w:t>AIG, AIR, AIP, AIS, AIT, GAI</w:t>
            </w:r>
          </w:p>
        </w:tc>
        <w:tc>
          <w:tcPr>
            <w:tcW w:type="dxa" w:w="3120"/>
          </w:tcPr>
          <w:p>
            <w:pPr>
              <w:pStyle w:val="CellTxt"/>
              <w:jc w:val="right"/>
            </w:pPr>
            <w:r>
              <w:t>112</w:t>
            </w:r>
          </w:p>
        </w:tc>
      </w:tr>
      <w:tr>
        <w:tc>
          <w:tcPr>
            <w:tcW w:type="dxa" w:w="3120"/>
          </w:tcPr>
          <w:p>
            <w:pPr>
              <w:pStyle w:val="CellTxt"/>
            </w:pPr>
            <w:r>
              <w:t>Quantum Readiness</w:t>
            </w:r>
          </w:p>
        </w:tc>
        <w:tc>
          <w:tcPr>
            <w:tcW w:type="dxa" w:w="3120"/>
          </w:tcPr>
          <w:p>
            <w:pPr>
              <w:pStyle w:val="CellTxt"/>
            </w:pPr>
            <w:r>
              <w:t>QRG, QCI, QRA, QCM, QSA</w:t>
            </w:r>
          </w:p>
        </w:tc>
        <w:tc>
          <w:tcPr>
            <w:tcW w:type="dxa" w:w="3120"/>
          </w:tcPr>
          <w:p>
            <w:pPr>
              <w:pStyle w:val="CellTxt"/>
              <w:jc w:val="right"/>
            </w:pPr>
            <w:r>
              <w:t>92</w:t>
            </w:r>
          </w:p>
        </w:tc>
      </w:tr>
    </w:tbl>
    <w:p>
      <w:pPr/>
      <w:r>
        <w:t>SCOPE is accompanied by four companion documents that support the control catalog: Roles and Responsibilities, which defines who is accountable for security across the enterprise; Decision Rights and Escalation Model, which defines who decides what, at which level, and when to escalate; Business-Aligned Security Metrics, which defines how to measure program effectiveness through KPIs and KRIs; and this Overview and Conventions document, which serves as the entry point to the framework.</w:t>
      </w:r>
    </w:p>
    <w:p>
      <w:pPr>
        <w:pStyle w:val="Kicker"/>
      </w:pPr>
      <w:r>
        <w:t>// how controls are written</w:t>
      </w:r>
    </w:p>
    <w:p>
      <w:pPr>
        <w:pStyle w:val="Heading1"/>
      </w:pPr>
      <w:r>
        <w:t>How Controls Are Written</w:t>
      </w:r>
    </w:p>
    <w:p>
      <w:pPr/>
      <w:r>
        <w:t>Every SCOPE control is a single normative requirement stated as an outcome, using the word shall. Controls describe what must be true, not the specific technology used to make it true. This keeps SCOPE durable as tools change and lets an organization satisfy a control with whatever implementation fits its environment, provided the stated outcome is met.</w:t>
      </w:r>
    </w:p>
    <w:p>
      <w:pPr>
        <w:pStyle w:val="Kicker"/>
      </w:pPr>
      <w:r>
        <w:t>// adoption</w:t>
      </w:r>
    </w:p>
    <w:p>
      <w:pPr>
        <w:pStyle w:val="Heading1"/>
      </w:pPr>
      <w:r>
        <w:t>How to Adopt and Adapt SCOPE</w:t>
      </w:r>
    </w:p>
    <w:p>
      <w:pPr/>
      <w:r>
        <w:t>SCOPE is intended to be used and built upon. Organizations may adopt the catalog in full or select the domains and families relevant to their risk profile, tailor control language to their context, and map SCOPE identifiers to the frameworks they already report against. Under the CC BY 4.0 license, organizations and practitioners are free to copy, redistribute, adapt, and build on SCOPE, including for commercial purposes, provided they credit the author. Derivative works should cite the SCOPE controls they draw from by their identifiers so that lineage remains clear.</w:t>
      </w:r>
    </w:p>
    <w:p>
      <w:pPr>
        <w:pStyle w:val="Kicker"/>
      </w:pPr>
      <w:r>
        <w:t>// other frameworks</w:t>
      </w:r>
    </w:p>
    <w:p>
      <w:pPr>
        <w:pStyle w:val="Heading1"/>
      </w:pPr>
      <w:r>
        <w:t>Relationship to Other Frameworks</w:t>
      </w:r>
    </w:p>
    <w:p>
      <w:pPr/>
      <w:r>
        <w:t>SCOPE is designed to complement, not replace, the established frameworks an organization may already use. Its structure deliberately parallels the domain-and-control model common to recognized control catalogs, which makes cross-mapping straightforward. A formal crosswalk between SCOPE and major frameworks is planned as a companion resource so that a single SCOPE control can be traced to the equivalent requirements elsewhere.</w:t>
      </w:r>
    </w:p>
    <w:p>
      <w:pPr>
        <w:pStyle w:val="Kicker"/>
      </w:pPr>
      <w:r>
        <w:t>// license and authorship</w:t>
      </w:r>
    </w:p>
    <w:p>
      <w:pPr>
        <w:pStyle w:val="Heading1"/>
      </w:pPr>
      <w:r>
        <w:t>License, Authorship, and Versioning</w:t>
      </w:r>
    </w:p>
    <w:p>
      <w:pPr/>
      <w:r>
        <w:t>SCOPE is authored and maintained by Tim D. Tipton Jr. and published under the Creative Commons Attribution 4.0 International license (CC BY 4.0). SCOPE is a trademark of Tim D. Tipton Jr. Each document in the framework carries a standard front-matter block stating its title, the framework name, the author, the version, the date, the license, the trademark notice, and the canonical source. Versions follow a major.minor scheme; this is version 1.0, the first fully standardized, fully current public release.</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OVERVIEW &amp; CONVENTIONS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Overview &amp; Conventions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Overview and Conventions</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